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E137A" w14:textId="77777777" w:rsidR="00041480" w:rsidRDefault="00041480" w:rsidP="00041480">
      <w:pPr>
        <w:jc w:val="right"/>
        <w:rPr>
          <w:rFonts w:ascii="Arial" w:hAnsi="Arial" w:cs="Arial"/>
        </w:rPr>
      </w:pPr>
    </w:p>
    <w:p w14:paraId="616E257B" w14:textId="77777777" w:rsidR="00041480" w:rsidRDefault="00041480" w:rsidP="00041480">
      <w:pPr>
        <w:jc w:val="right"/>
        <w:rPr>
          <w:rFonts w:ascii="Arial" w:hAnsi="Arial" w:cs="Arial"/>
        </w:rPr>
      </w:pPr>
    </w:p>
    <w:p w14:paraId="59A0CAC1" w14:textId="40F60BC2" w:rsidR="00D559C9" w:rsidRDefault="00041480" w:rsidP="00041480">
      <w:pPr>
        <w:jc w:val="right"/>
        <w:rPr>
          <w:rFonts w:ascii="Arial" w:hAnsi="Arial" w:cs="Arial"/>
        </w:rPr>
      </w:pPr>
      <w:r>
        <w:rPr>
          <w:rFonts w:ascii="Arial" w:hAnsi="Arial" w:cs="Arial"/>
        </w:rPr>
        <w:t>Příloha</w:t>
      </w:r>
      <w:r w:rsidR="00B23941">
        <w:rPr>
          <w:rFonts w:ascii="Arial" w:hAnsi="Arial" w:cs="Arial"/>
        </w:rPr>
        <w:t xml:space="preserve"> č. 1</w:t>
      </w:r>
      <w:r>
        <w:rPr>
          <w:rFonts w:ascii="Arial" w:hAnsi="Arial" w:cs="Arial"/>
        </w:rPr>
        <w:t xml:space="preserve"> k č.</w:t>
      </w:r>
      <w:r w:rsidRPr="0021110A">
        <w:rPr>
          <w:rFonts w:ascii="Arial" w:hAnsi="Arial" w:cs="Arial"/>
        </w:rPr>
        <w:t xml:space="preserve">j.: </w:t>
      </w:r>
      <w:bookmarkStart w:id="0" w:name="_GoBack"/>
      <w:r w:rsidR="00DD5C63" w:rsidRPr="005F7465">
        <w:rPr>
          <w:rFonts w:ascii="Arial" w:hAnsi="Arial" w:cs="Arial"/>
        </w:rPr>
        <w:t>MV-</w:t>
      </w:r>
      <w:r w:rsidR="00DD5C63" w:rsidRPr="005F7465">
        <w:rPr>
          <w:rFonts w:ascii="Arial" w:hAnsi="Arial" w:cs="Arial"/>
        </w:rPr>
        <w:softHyphen/>
      </w:r>
      <w:r w:rsidR="00DD5C63" w:rsidRPr="005F7465">
        <w:rPr>
          <w:rFonts w:ascii="Arial" w:hAnsi="Arial" w:cs="Arial"/>
        </w:rPr>
        <w:softHyphen/>
      </w:r>
      <w:r w:rsidR="00DD5C63" w:rsidRPr="005F7465">
        <w:rPr>
          <w:rFonts w:ascii="Arial" w:hAnsi="Arial" w:cs="Arial"/>
        </w:rPr>
        <w:softHyphen/>
      </w:r>
      <w:r w:rsidR="00DD5C63" w:rsidRPr="005F7465">
        <w:rPr>
          <w:rFonts w:ascii="Arial" w:hAnsi="Arial" w:cs="Arial"/>
        </w:rPr>
        <w:softHyphen/>
      </w:r>
      <w:r w:rsidR="00DD5C63" w:rsidRPr="005F7465">
        <w:rPr>
          <w:rFonts w:ascii="Arial" w:hAnsi="Arial" w:cs="Arial"/>
        </w:rPr>
        <w:softHyphen/>
      </w:r>
      <w:r w:rsidR="00DD5C63" w:rsidRPr="005F7465">
        <w:rPr>
          <w:rFonts w:ascii="Arial" w:hAnsi="Arial" w:cs="Arial"/>
        </w:rPr>
        <w:softHyphen/>
      </w:r>
      <w:r w:rsidR="00DD5C63" w:rsidRPr="005F7465">
        <w:rPr>
          <w:rFonts w:ascii="Arial" w:hAnsi="Arial" w:cs="Arial"/>
        </w:rPr>
        <w:softHyphen/>
      </w:r>
      <w:r w:rsidR="00C83D5C">
        <w:rPr>
          <w:rFonts w:ascii="Arial" w:hAnsi="Arial" w:cs="Arial"/>
        </w:rPr>
        <w:t>19318</w:t>
      </w:r>
      <w:r w:rsidR="003E2671">
        <w:rPr>
          <w:rFonts w:ascii="Arial" w:hAnsi="Arial" w:cs="Arial"/>
        </w:rPr>
        <w:t>-</w:t>
      </w:r>
      <w:r w:rsidR="00C83D5C">
        <w:rPr>
          <w:rFonts w:ascii="Arial" w:hAnsi="Arial" w:cs="Arial"/>
        </w:rPr>
        <w:t>3/OPF-2020</w:t>
      </w:r>
      <w:bookmarkEnd w:id="0"/>
    </w:p>
    <w:p w14:paraId="088F3D9C" w14:textId="4EB537DA" w:rsidR="00041480" w:rsidRPr="0021110A" w:rsidRDefault="00041480" w:rsidP="00041480">
      <w:pPr>
        <w:jc w:val="right"/>
        <w:rPr>
          <w:rFonts w:ascii="Arial" w:hAnsi="Arial" w:cs="Arial"/>
        </w:rPr>
      </w:pPr>
      <w:r w:rsidRPr="0021110A">
        <w:rPr>
          <w:rFonts w:ascii="Arial" w:hAnsi="Arial" w:cs="Arial"/>
        </w:rPr>
        <w:t xml:space="preserve">Počet </w:t>
      </w:r>
      <w:r w:rsidR="00F757C1" w:rsidRPr="00627BD9">
        <w:rPr>
          <w:rFonts w:ascii="Arial" w:hAnsi="Arial" w:cs="Arial"/>
        </w:rPr>
        <w:t>stránek</w:t>
      </w:r>
      <w:r w:rsidRPr="00627BD9">
        <w:rPr>
          <w:rFonts w:ascii="Arial" w:hAnsi="Arial" w:cs="Arial"/>
        </w:rPr>
        <w:t xml:space="preserve">: </w:t>
      </w:r>
      <w:r w:rsidR="00627BD9" w:rsidRPr="00627BD9">
        <w:rPr>
          <w:rFonts w:ascii="Arial" w:hAnsi="Arial" w:cs="Arial"/>
        </w:rPr>
        <w:t>7</w:t>
      </w:r>
    </w:p>
    <w:p w14:paraId="7A3B47EF" w14:textId="77777777" w:rsidR="0001012D" w:rsidRDefault="0001012D">
      <w:pPr>
        <w:suppressAutoHyphens w:val="0"/>
        <w:spacing w:after="200" w:line="276" w:lineRule="auto"/>
        <w:rPr>
          <w:rFonts w:ascii="Arial" w:hAnsi="Arial" w:cs="Arial"/>
          <w:b/>
          <w:sz w:val="28"/>
          <w:szCs w:val="28"/>
          <w:lang w:eastAsia="en-US"/>
        </w:rPr>
      </w:pPr>
    </w:p>
    <w:p w14:paraId="4F4399DA" w14:textId="77777777" w:rsidR="007544D1" w:rsidRDefault="0001012D" w:rsidP="007544D1">
      <w:pPr>
        <w:suppressAutoHyphens w:val="0"/>
        <w:spacing w:line="276" w:lineRule="auto"/>
        <w:ind w:left="425"/>
        <w:jc w:val="center"/>
        <w:rPr>
          <w:rFonts w:ascii="Arial" w:hAnsi="Arial" w:cs="Arial"/>
          <w:b/>
          <w:sz w:val="28"/>
          <w:szCs w:val="28"/>
          <w:lang w:eastAsia="en-US"/>
        </w:rPr>
      </w:pPr>
      <w:r w:rsidRPr="0001012D">
        <w:rPr>
          <w:rFonts w:ascii="Arial" w:hAnsi="Arial" w:cs="Arial"/>
          <w:b/>
          <w:sz w:val="28"/>
          <w:szCs w:val="28"/>
          <w:lang w:eastAsia="en-US"/>
        </w:rPr>
        <w:t>Specifikace „</w:t>
      </w:r>
      <w:r w:rsidR="00145180">
        <w:rPr>
          <w:rFonts w:ascii="Arial" w:hAnsi="Arial" w:cs="Arial"/>
          <w:b/>
          <w:sz w:val="28"/>
          <w:szCs w:val="28"/>
          <w:lang w:eastAsia="en-US"/>
        </w:rPr>
        <w:t>Analýzy</w:t>
      </w:r>
      <w:r w:rsidR="00145180" w:rsidRPr="00145180">
        <w:rPr>
          <w:rFonts w:ascii="Arial" w:hAnsi="Arial" w:cs="Arial"/>
          <w:b/>
          <w:sz w:val="28"/>
          <w:szCs w:val="28"/>
          <w:lang w:eastAsia="en-US"/>
        </w:rPr>
        <w:t xml:space="preserve"> právního řádu České republiky za účelem identifikace obsoletních právních předpisů</w:t>
      </w:r>
      <w:r w:rsidRPr="0001012D">
        <w:rPr>
          <w:rFonts w:ascii="Arial" w:hAnsi="Arial" w:cs="Arial"/>
          <w:b/>
          <w:sz w:val="28"/>
          <w:szCs w:val="28"/>
          <w:lang w:eastAsia="en-US"/>
        </w:rPr>
        <w:t>“</w:t>
      </w:r>
      <w:r w:rsidR="007544D1">
        <w:rPr>
          <w:rFonts w:ascii="Arial" w:hAnsi="Arial" w:cs="Arial"/>
          <w:b/>
          <w:sz w:val="28"/>
          <w:szCs w:val="28"/>
          <w:lang w:eastAsia="en-US"/>
        </w:rPr>
        <w:t xml:space="preserve"> </w:t>
      </w:r>
    </w:p>
    <w:p w14:paraId="6F722E1D" w14:textId="77777777" w:rsidR="007544D1" w:rsidRDefault="007544D1" w:rsidP="007544D1">
      <w:pPr>
        <w:suppressAutoHyphens w:val="0"/>
        <w:spacing w:line="276" w:lineRule="auto"/>
        <w:ind w:left="425"/>
        <w:jc w:val="center"/>
        <w:rPr>
          <w:rFonts w:ascii="Arial" w:hAnsi="Arial" w:cs="Arial"/>
          <w:b/>
          <w:sz w:val="28"/>
          <w:szCs w:val="28"/>
          <w:lang w:eastAsia="en-US"/>
        </w:rPr>
      </w:pPr>
    </w:p>
    <w:p w14:paraId="0A5FFA49" w14:textId="77777777" w:rsidR="0001012D" w:rsidRPr="0001012D" w:rsidRDefault="0001012D" w:rsidP="007544D1">
      <w:pPr>
        <w:suppressAutoHyphens w:val="0"/>
        <w:spacing w:line="276" w:lineRule="auto"/>
        <w:ind w:left="425"/>
        <w:jc w:val="center"/>
        <w:rPr>
          <w:rFonts w:ascii="Arial" w:hAnsi="Arial" w:cs="Arial"/>
          <w:kern w:val="28"/>
          <w:lang w:eastAsia="cs-CZ"/>
        </w:rPr>
      </w:pPr>
      <w:r w:rsidRPr="0001012D">
        <w:rPr>
          <w:rFonts w:ascii="Arial" w:hAnsi="Arial" w:cs="Arial"/>
          <w:b/>
          <w:kern w:val="28"/>
          <w:lang w:eastAsia="cs-CZ"/>
        </w:rPr>
        <w:t xml:space="preserve">v rámci veřejné zakázky </w:t>
      </w:r>
      <w:r w:rsidR="007544D1" w:rsidRPr="007544D1">
        <w:rPr>
          <w:rFonts w:ascii="Arial" w:hAnsi="Arial" w:cs="Arial"/>
          <w:b/>
          <w:kern w:val="28"/>
          <w:lang w:eastAsia="cs-CZ"/>
        </w:rPr>
        <w:t>„Analýza právního řádu České republiky za účelem identifikace obsoletních právních předpisů“ v</w:t>
      </w:r>
      <w:r w:rsidR="007544D1">
        <w:rPr>
          <w:rFonts w:ascii="Arial" w:hAnsi="Arial" w:cs="Arial"/>
          <w:b/>
          <w:kern w:val="28"/>
          <w:lang w:eastAsia="cs-CZ"/>
        </w:rPr>
        <w:t xml:space="preserve"> souvislosti s projektem </w:t>
      </w:r>
      <w:r w:rsidR="007544D1" w:rsidRPr="007544D1">
        <w:rPr>
          <w:rFonts w:ascii="Arial" w:hAnsi="Arial" w:cs="Arial"/>
          <w:b/>
          <w:kern w:val="28"/>
          <w:lang w:eastAsia="cs-CZ"/>
        </w:rPr>
        <w:t>Implementační jednotka Strategického rámce rozvoje veřejné správy České republiky pro období 2014 – 2020, reg. č. Z.03.4.74/0.0/0.0/15_019/0000125</w:t>
      </w:r>
      <w:r w:rsidRPr="0001012D">
        <w:rPr>
          <w:rFonts w:ascii="Arial" w:hAnsi="Arial" w:cs="Arial"/>
          <w:bCs/>
          <w:kern w:val="28"/>
          <w:lang w:eastAsia="cs-CZ"/>
        </w:rPr>
        <w:t> </w:t>
      </w:r>
    </w:p>
    <w:p w14:paraId="1F117DCA" w14:textId="77777777" w:rsidR="0001012D" w:rsidRPr="0001012D" w:rsidRDefault="0001012D" w:rsidP="0001012D">
      <w:pPr>
        <w:suppressAutoHyphens w:val="0"/>
        <w:spacing w:line="276" w:lineRule="auto"/>
        <w:ind w:left="426"/>
        <w:jc w:val="center"/>
        <w:rPr>
          <w:rFonts w:ascii="Arial" w:hAnsi="Arial" w:cs="Arial"/>
          <w:lang w:eastAsia="en-US"/>
        </w:rPr>
      </w:pPr>
    </w:p>
    <w:p w14:paraId="7D137BDB" w14:textId="77777777" w:rsidR="0001012D" w:rsidRPr="0001012D" w:rsidRDefault="0001012D" w:rsidP="0001012D">
      <w:pPr>
        <w:suppressAutoHyphens w:val="0"/>
        <w:spacing w:line="276" w:lineRule="auto"/>
        <w:ind w:left="426"/>
        <w:jc w:val="both"/>
        <w:rPr>
          <w:rFonts w:ascii="Arial" w:hAnsi="Arial" w:cs="Arial"/>
          <w:lang w:eastAsia="en-US"/>
        </w:rPr>
      </w:pPr>
      <w:r w:rsidRPr="0001012D">
        <w:rPr>
          <w:rFonts w:ascii="Arial" w:hAnsi="Arial" w:cs="Arial"/>
          <w:lang w:eastAsia="en-US"/>
        </w:rPr>
        <w:t>Návaznost na s</w:t>
      </w:r>
      <w:r w:rsidR="00697C31">
        <w:rPr>
          <w:rFonts w:ascii="Arial" w:hAnsi="Arial" w:cs="Arial"/>
          <w:lang w:eastAsia="en-US"/>
        </w:rPr>
        <w:t>pecifický cíl č. 2</w:t>
      </w:r>
      <w:r w:rsidR="00697C31" w:rsidRPr="00697C31">
        <w:rPr>
          <w:rFonts w:ascii="Arial" w:hAnsi="Arial" w:cs="Arial"/>
          <w:lang w:eastAsia="en-US"/>
        </w:rPr>
        <w:t>.</w:t>
      </w:r>
      <w:r w:rsidR="00697C31">
        <w:rPr>
          <w:rFonts w:ascii="Arial" w:hAnsi="Arial" w:cs="Arial"/>
          <w:lang w:eastAsia="en-US"/>
        </w:rPr>
        <w:t>1</w:t>
      </w:r>
      <w:r w:rsidR="00697C31" w:rsidRPr="00697C31">
        <w:rPr>
          <w:rFonts w:ascii="Arial" w:hAnsi="Arial" w:cs="Arial"/>
          <w:lang w:eastAsia="en-US"/>
        </w:rPr>
        <w:t xml:space="preserve"> Snižování regulatorní zátěže </w:t>
      </w:r>
      <w:r w:rsidR="00304FDB">
        <w:rPr>
          <w:rFonts w:ascii="Arial" w:hAnsi="Arial" w:cs="Arial"/>
          <w:lang w:eastAsia="en-US"/>
        </w:rPr>
        <w:t xml:space="preserve">podle </w:t>
      </w:r>
      <w:r w:rsidRPr="0001012D">
        <w:rPr>
          <w:rFonts w:ascii="Arial" w:hAnsi="Arial" w:cs="Arial"/>
          <w:lang w:eastAsia="en-US"/>
        </w:rPr>
        <w:t>Strategického rámce veřejné správy 2014-2020</w:t>
      </w:r>
      <w:r w:rsidR="00304FDB">
        <w:rPr>
          <w:rFonts w:ascii="Arial" w:hAnsi="Arial" w:cs="Arial"/>
          <w:lang w:eastAsia="en-US"/>
        </w:rPr>
        <w:t xml:space="preserve"> a specifický cíl </w:t>
      </w:r>
      <w:r w:rsidR="00304FDB" w:rsidRPr="00304FDB">
        <w:rPr>
          <w:rFonts w:ascii="Arial" w:hAnsi="Arial" w:cs="Arial"/>
          <w:lang w:eastAsia="en-US"/>
        </w:rPr>
        <w:t>3.1 Dobudování funkčního rámce eGovernmentu</w:t>
      </w:r>
      <w:r w:rsidR="00304FDB">
        <w:rPr>
          <w:rFonts w:ascii="Arial" w:hAnsi="Arial" w:cs="Arial"/>
          <w:lang w:eastAsia="en-US"/>
        </w:rPr>
        <w:t xml:space="preserve">, </w:t>
      </w:r>
      <w:r w:rsidR="00304FDB">
        <w:rPr>
          <w:rFonts w:ascii="Arial" w:hAnsi="Arial" w:cs="Arial"/>
        </w:rPr>
        <w:t xml:space="preserve">projektový okruh </w:t>
      </w:r>
      <w:r w:rsidR="00304FDB" w:rsidRPr="00355A54">
        <w:rPr>
          <w:rFonts w:ascii="Arial" w:hAnsi="Arial" w:cs="Arial"/>
        </w:rPr>
        <w:t>3.3 Elektronizace odvětví: e</w:t>
      </w:r>
      <w:r w:rsidR="00304FDB">
        <w:rPr>
          <w:rFonts w:ascii="Arial" w:hAnsi="Arial" w:cs="Arial"/>
        </w:rPr>
        <w:noBreakHyphen/>
      </w:r>
      <w:r w:rsidR="00304FDB" w:rsidRPr="00355A54">
        <w:rPr>
          <w:rFonts w:ascii="Arial" w:hAnsi="Arial" w:cs="Arial"/>
        </w:rPr>
        <w:t>Sbírka a e</w:t>
      </w:r>
      <w:r w:rsidR="00304FDB">
        <w:rPr>
          <w:rFonts w:ascii="Arial" w:hAnsi="Arial" w:cs="Arial"/>
        </w:rPr>
        <w:t>-</w:t>
      </w:r>
      <w:r w:rsidR="00304FDB" w:rsidRPr="00355A54">
        <w:rPr>
          <w:rFonts w:ascii="Arial" w:hAnsi="Arial" w:cs="Arial"/>
        </w:rPr>
        <w:t>Legislativa</w:t>
      </w:r>
    </w:p>
    <w:p w14:paraId="6F8379B7" w14:textId="77777777" w:rsidR="0001012D" w:rsidRPr="0001012D" w:rsidRDefault="0001012D" w:rsidP="0001012D">
      <w:pPr>
        <w:suppressAutoHyphens w:val="0"/>
        <w:spacing w:line="276" w:lineRule="auto"/>
        <w:ind w:left="426"/>
        <w:jc w:val="both"/>
        <w:rPr>
          <w:rFonts w:ascii="Arial" w:hAnsi="Arial" w:cs="Arial"/>
          <w:lang w:eastAsia="en-US"/>
        </w:rPr>
      </w:pPr>
    </w:p>
    <w:p w14:paraId="21E156BF" w14:textId="77777777" w:rsidR="0001012D" w:rsidRPr="00383262" w:rsidRDefault="0001012D" w:rsidP="00383262">
      <w:pPr>
        <w:pStyle w:val="Odstavecseseznamem"/>
        <w:numPr>
          <w:ilvl w:val="0"/>
          <w:numId w:val="43"/>
        </w:numPr>
        <w:suppressAutoHyphens w:val="0"/>
        <w:spacing w:line="276" w:lineRule="auto"/>
        <w:jc w:val="both"/>
        <w:rPr>
          <w:rFonts w:ascii="Arial" w:hAnsi="Arial" w:cs="Arial"/>
          <w:b/>
          <w:lang w:eastAsia="en-US"/>
        </w:rPr>
      </w:pPr>
      <w:r w:rsidRPr="00383262">
        <w:rPr>
          <w:rFonts w:ascii="Arial" w:hAnsi="Arial" w:cs="Arial"/>
          <w:b/>
          <w:lang w:eastAsia="en-US"/>
        </w:rPr>
        <w:t xml:space="preserve">Cíl Analýzy: </w:t>
      </w:r>
    </w:p>
    <w:p w14:paraId="5CC99B33" w14:textId="77777777" w:rsidR="005F4887" w:rsidRDefault="007E7FD6" w:rsidP="0001012D">
      <w:pPr>
        <w:suppressAutoHyphens w:val="0"/>
        <w:spacing w:line="276" w:lineRule="auto"/>
        <w:ind w:left="426"/>
        <w:jc w:val="both"/>
        <w:rPr>
          <w:rFonts w:ascii="Arial" w:hAnsi="Arial" w:cs="Arial"/>
          <w:lang w:eastAsia="en-US"/>
        </w:rPr>
      </w:pPr>
      <w:r w:rsidRPr="007E7FD6">
        <w:rPr>
          <w:rFonts w:ascii="Arial" w:hAnsi="Arial" w:cs="Arial"/>
          <w:lang w:eastAsia="en-US"/>
        </w:rPr>
        <w:t xml:space="preserve">V posledních letech je v rámci veřejného diskurzu, ať už na úrovni právních profesionálů či mezi širokou laickou veřejností, diskutována problematika přehlednosti českého právního řádu, s níž úzce souvisí i počet vydávaných právních předpisů. Právní řád České republiky obsahuje velké množství právních předpisů (přibližně 42 000), přičemž nemalá část z těchto právních předpisů je obsoletních. Adjektivem obsoletní se označuje právní norma, která je sice stále formálně platná, neboť nebyla předepsaným způsobem zrušena, avšak je již nepoužívaná, nepůsobí právní účinky; někdy se hovoří rovněž o „vyhaslém“ právním předpise. </w:t>
      </w:r>
    </w:p>
    <w:p w14:paraId="3D53EE1C" w14:textId="77777777" w:rsidR="00604392" w:rsidRDefault="00604392" w:rsidP="0001012D">
      <w:pPr>
        <w:suppressAutoHyphens w:val="0"/>
        <w:spacing w:line="276" w:lineRule="auto"/>
        <w:ind w:left="426"/>
        <w:jc w:val="both"/>
        <w:rPr>
          <w:rFonts w:ascii="Arial" w:hAnsi="Arial" w:cs="Arial"/>
          <w:lang w:eastAsia="en-US"/>
        </w:rPr>
      </w:pPr>
    </w:p>
    <w:p w14:paraId="57E2884E" w14:textId="61BAF150" w:rsidR="005F4887" w:rsidRPr="0005229F" w:rsidRDefault="005F4887" w:rsidP="0001012D">
      <w:pPr>
        <w:suppressAutoHyphens w:val="0"/>
        <w:spacing w:line="276" w:lineRule="auto"/>
        <w:ind w:left="426"/>
        <w:jc w:val="both"/>
        <w:rPr>
          <w:rFonts w:ascii="Arial" w:hAnsi="Arial" w:cs="Arial"/>
          <w:lang w:eastAsia="en-US"/>
        </w:rPr>
      </w:pPr>
      <w:r>
        <w:rPr>
          <w:rFonts w:ascii="Arial" w:hAnsi="Arial" w:cs="Arial"/>
          <w:lang w:eastAsia="en-US"/>
        </w:rPr>
        <w:t xml:space="preserve">Cílem </w:t>
      </w:r>
      <w:r w:rsidR="004B5766" w:rsidRPr="004B5766">
        <w:rPr>
          <w:rFonts w:ascii="Arial" w:hAnsi="Arial" w:cs="Arial"/>
          <w:lang w:eastAsia="en-US"/>
        </w:rPr>
        <w:t xml:space="preserve">Analýzy právního řádu České republiky za účelem identifikace obsoletních právních předpisů </w:t>
      </w:r>
      <w:r w:rsidR="004B5766">
        <w:rPr>
          <w:rFonts w:ascii="Arial" w:hAnsi="Arial" w:cs="Arial"/>
          <w:lang w:eastAsia="en-US"/>
        </w:rPr>
        <w:t xml:space="preserve">(dále jen „Analýza“) </w:t>
      </w:r>
      <w:r>
        <w:rPr>
          <w:rFonts w:ascii="Arial" w:hAnsi="Arial" w:cs="Arial"/>
          <w:lang w:eastAsia="en-US"/>
        </w:rPr>
        <w:t>je provedení analýzy</w:t>
      </w:r>
      <w:r w:rsidRPr="005F4887">
        <w:rPr>
          <w:rFonts w:ascii="Arial" w:hAnsi="Arial" w:cs="Arial"/>
          <w:lang w:eastAsia="en-US"/>
        </w:rPr>
        <w:t xml:space="preserve"> </w:t>
      </w:r>
      <w:r w:rsidR="0089457F">
        <w:rPr>
          <w:rFonts w:ascii="Arial" w:hAnsi="Arial" w:cs="Arial"/>
          <w:lang w:eastAsia="en-US"/>
        </w:rPr>
        <w:t xml:space="preserve">všech </w:t>
      </w:r>
      <w:r w:rsidRPr="005F4887">
        <w:rPr>
          <w:rFonts w:ascii="Arial" w:hAnsi="Arial" w:cs="Arial"/>
          <w:lang w:eastAsia="en-US"/>
        </w:rPr>
        <w:t>právních předpisů, jež byly vyhlášeny v České republice od 28. října roku 1918 do</w:t>
      </w:r>
      <w:r w:rsidR="00AA3629">
        <w:rPr>
          <w:rFonts w:ascii="Arial" w:hAnsi="Arial" w:cs="Arial"/>
          <w:lang w:eastAsia="en-US"/>
        </w:rPr>
        <w:t> </w:t>
      </w:r>
      <w:r w:rsidRPr="005F4887">
        <w:rPr>
          <w:rFonts w:ascii="Arial" w:hAnsi="Arial" w:cs="Arial"/>
          <w:lang w:eastAsia="en-US"/>
        </w:rPr>
        <w:t>31.</w:t>
      </w:r>
      <w:r w:rsidR="0089457F">
        <w:rPr>
          <w:rFonts w:ascii="Arial" w:hAnsi="Arial" w:cs="Arial"/>
          <w:lang w:eastAsia="en-US"/>
        </w:rPr>
        <w:t> </w:t>
      </w:r>
      <w:r w:rsidRPr="005F4887">
        <w:rPr>
          <w:rFonts w:ascii="Arial" w:hAnsi="Arial" w:cs="Arial"/>
          <w:lang w:eastAsia="en-US"/>
        </w:rPr>
        <w:t xml:space="preserve">prosince 2018 v oficiálních publikačních listech. </w:t>
      </w:r>
      <w:r w:rsidR="004B5766">
        <w:rPr>
          <w:rFonts w:ascii="Arial" w:hAnsi="Arial" w:cs="Arial"/>
          <w:lang w:eastAsia="en-US"/>
        </w:rPr>
        <w:t>Na základě této analýzy</w:t>
      </w:r>
      <w:r w:rsidRPr="005F4887">
        <w:rPr>
          <w:rFonts w:ascii="Arial" w:hAnsi="Arial" w:cs="Arial"/>
          <w:lang w:eastAsia="en-US"/>
        </w:rPr>
        <w:t xml:space="preserve"> pak zhotovitel vytvoří </w:t>
      </w:r>
      <w:r w:rsidR="0089457F">
        <w:rPr>
          <w:rFonts w:ascii="Arial" w:hAnsi="Arial" w:cs="Arial"/>
          <w:lang w:eastAsia="en-US"/>
        </w:rPr>
        <w:t xml:space="preserve">databázi všech právních předpisů obsažených v právním řádu České republiky, jejíž součástí bude rovněž </w:t>
      </w:r>
      <w:r w:rsidRPr="005F4887">
        <w:rPr>
          <w:rFonts w:ascii="Arial" w:hAnsi="Arial" w:cs="Arial"/>
          <w:lang w:eastAsia="en-US"/>
        </w:rPr>
        <w:t xml:space="preserve">seznam obsoletních právních </w:t>
      </w:r>
      <w:r w:rsidRPr="0005229F">
        <w:rPr>
          <w:rFonts w:ascii="Arial" w:hAnsi="Arial" w:cs="Arial"/>
          <w:lang w:eastAsia="en-US"/>
        </w:rPr>
        <w:t>předpisů – tedy předpisů, které již nejsou používány a nevyvolávají právní účinky, byť jsou stále formálně právně platné</w:t>
      </w:r>
      <w:r w:rsidR="009657FE" w:rsidRPr="0005229F">
        <w:rPr>
          <w:rFonts w:ascii="Arial" w:hAnsi="Arial" w:cs="Arial"/>
          <w:lang w:eastAsia="en-US"/>
        </w:rPr>
        <w:t>, neboť nebyly předepsaným způsobem zrušeny</w:t>
      </w:r>
      <w:r w:rsidR="008A669A" w:rsidRPr="0005229F">
        <w:rPr>
          <w:rFonts w:ascii="Arial" w:hAnsi="Arial" w:cs="Arial"/>
          <w:lang w:eastAsia="en-US"/>
        </w:rPr>
        <w:t>.</w:t>
      </w:r>
    </w:p>
    <w:p w14:paraId="2893F3E6" w14:textId="77777777" w:rsidR="005F4887" w:rsidRPr="0005229F" w:rsidRDefault="005F4887" w:rsidP="0001012D">
      <w:pPr>
        <w:suppressAutoHyphens w:val="0"/>
        <w:spacing w:line="276" w:lineRule="auto"/>
        <w:ind w:left="426"/>
        <w:jc w:val="both"/>
        <w:rPr>
          <w:rFonts w:ascii="Arial" w:hAnsi="Arial" w:cs="Arial"/>
          <w:lang w:eastAsia="en-US"/>
        </w:rPr>
      </w:pPr>
    </w:p>
    <w:p w14:paraId="4F00970B" w14:textId="77777777" w:rsidR="00604392" w:rsidRPr="0005229F" w:rsidRDefault="00604392">
      <w:pPr>
        <w:suppressAutoHyphens w:val="0"/>
        <w:spacing w:after="200" w:line="276" w:lineRule="auto"/>
        <w:rPr>
          <w:rFonts w:ascii="Arial" w:hAnsi="Arial" w:cs="Arial"/>
          <w:b/>
          <w:lang w:eastAsia="en-US"/>
        </w:rPr>
      </w:pPr>
      <w:r w:rsidRPr="0005229F">
        <w:rPr>
          <w:rFonts w:ascii="Arial" w:hAnsi="Arial" w:cs="Arial"/>
          <w:b/>
          <w:lang w:eastAsia="en-US"/>
        </w:rPr>
        <w:br w:type="page"/>
      </w:r>
    </w:p>
    <w:p w14:paraId="64AF6EB0" w14:textId="77777777" w:rsidR="0001012D" w:rsidRPr="00B403CF" w:rsidRDefault="0001012D" w:rsidP="00383262">
      <w:pPr>
        <w:pStyle w:val="Odstavecseseznamem"/>
        <w:numPr>
          <w:ilvl w:val="0"/>
          <w:numId w:val="43"/>
        </w:numPr>
        <w:suppressAutoHyphens w:val="0"/>
        <w:spacing w:line="276" w:lineRule="auto"/>
        <w:jc w:val="both"/>
        <w:rPr>
          <w:rFonts w:ascii="Arial" w:hAnsi="Arial" w:cs="Arial"/>
          <w:b/>
          <w:lang w:eastAsia="en-US"/>
        </w:rPr>
      </w:pPr>
      <w:r w:rsidRPr="00B403CF">
        <w:rPr>
          <w:rFonts w:ascii="Arial" w:hAnsi="Arial" w:cs="Arial"/>
          <w:b/>
          <w:lang w:eastAsia="en-US"/>
        </w:rPr>
        <w:lastRenderedPageBreak/>
        <w:t xml:space="preserve">Stručný obsah a požadované výstupy: </w:t>
      </w:r>
    </w:p>
    <w:p w14:paraId="39365325" w14:textId="77777777" w:rsidR="0045027A" w:rsidRPr="0005229F" w:rsidRDefault="0045027A" w:rsidP="0001012D">
      <w:pPr>
        <w:suppressAutoHyphens w:val="0"/>
        <w:spacing w:line="276" w:lineRule="auto"/>
        <w:ind w:left="426"/>
        <w:jc w:val="both"/>
        <w:rPr>
          <w:rFonts w:ascii="Arial" w:hAnsi="Arial" w:cs="Arial"/>
          <w:b/>
          <w:lang w:eastAsia="en-US"/>
        </w:rPr>
      </w:pPr>
    </w:p>
    <w:p w14:paraId="1CF23784" w14:textId="77777777" w:rsidR="00256B96" w:rsidRPr="00C41DF4" w:rsidRDefault="00256B96" w:rsidP="00256B96">
      <w:pPr>
        <w:pStyle w:val="Odstavecseseznamem"/>
        <w:numPr>
          <w:ilvl w:val="0"/>
          <w:numId w:val="37"/>
        </w:numPr>
        <w:suppressAutoHyphens w:val="0"/>
        <w:spacing w:line="276" w:lineRule="auto"/>
        <w:jc w:val="both"/>
        <w:rPr>
          <w:rFonts w:ascii="Arial" w:eastAsia="Calibri" w:hAnsi="Arial" w:cs="Arial"/>
          <w:u w:val="single"/>
          <w:lang w:eastAsia="en-US"/>
        </w:rPr>
      </w:pPr>
      <w:r w:rsidRPr="00844D82">
        <w:rPr>
          <w:rFonts w:ascii="Arial" w:hAnsi="Arial" w:cs="Arial"/>
          <w:u w:val="single"/>
          <w:lang w:eastAsia="en-US"/>
        </w:rPr>
        <w:t xml:space="preserve">Analýza bude obsahovat textovou část v rozsahu alespoň </w:t>
      </w:r>
      <w:r w:rsidR="000E089C">
        <w:rPr>
          <w:rFonts w:ascii="Arial" w:hAnsi="Arial" w:cs="Arial"/>
          <w:u w:val="single"/>
          <w:lang w:eastAsia="en-US"/>
        </w:rPr>
        <w:t>4</w:t>
      </w:r>
      <w:r w:rsidRPr="00844D82">
        <w:rPr>
          <w:rFonts w:ascii="Arial" w:hAnsi="Arial" w:cs="Arial"/>
          <w:u w:val="single"/>
          <w:lang w:eastAsia="en-US"/>
        </w:rPr>
        <w:t>0 normostran</w:t>
      </w:r>
      <w:r>
        <w:rPr>
          <w:rFonts w:ascii="Arial" w:hAnsi="Arial" w:cs="Arial"/>
          <w:u w:val="single"/>
          <w:lang w:eastAsia="en-US"/>
        </w:rPr>
        <w:t>.</w:t>
      </w:r>
    </w:p>
    <w:p w14:paraId="13488245" w14:textId="77777777" w:rsidR="00256B96" w:rsidRDefault="00256B96" w:rsidP="00256B96">
      <w:pPr>
        <w:pStyle w:val="Odstavecseseznamem"/>
        <w:suppressAutoHyphens w:val="0"/>
        <w:spacing w:line="276" w:lineRule="auto"/>
        <w:ind w:left="786"/>
        <w:jc w:val="both"/>
        <w:rPr>
          <w:rFonts w:ascii="Arial" w:hAnsi="Arial" w:cs="Arial"/>
          <w:lang w:eastAsia="en-US"/>
        </w:rPr>
      </w:pPr>
    </w:p>
    <w:p w14:paraId="5FBA5733" w14:textId="77777777" w:rsidR="006519B7" w:rsidRDefault="000E089C" w:rsidP="00085003">
      <w:pPr>
        <w:pStyle w:val="Odstavecseseznamem"/>
        <w:numPr>
          <w:ilvl w:val="0"/>
          <w:numId w:val="42"/>
        </w:numPr>
        <w:suppressAutoHyphens w:val="0"/>
        <w:spacing w:line="276" w:lineRule="auto"/>
        <w:jc w:val="both"/>
        <w:rPr>
          <w:rFonts w:ascii="Arial" w:hAnsi="Arial" w:cs="Arial"/>
          <w:lang w:eastAsia="en-US"/>
        </w:rPr>
      </w:pPr>
      <w:r>
        <w:rPr>
          <w:rFonts w:ascii="Arial" w:hAnsi="Arial" w:cs="Arial"/>
          <w:lang w:eastAsia="en-US"/>
        </w:rPr>
        <w:t>Úvodní t</w:t>
      </w:r>
      <w:r w:rsidR="006519B7">
        <w:rPr>
          <w:rFonts w:ascii="Arial" w:hAnsi="Arial" w:cs="Arial"/>
          <w:lang w:eastAsia="en-US"/>
        </w:rPr>
        <w:t xml:space="preserve">extová část Analýzy </w:t>
      </w:r>
      <w:r>
        <w:rPr>
          <w:rFonts w:ascii="Arial" w:hAnsi="Arial" w:cs="Arial"/>
          <w:lang w:eastAsia="en-US"/>
        </w:rPr>
        <w:t xml:space="preserve">v rozsahu alespoň 30 normostran </w:t>
      </w:r>
      <w:r w:rsidR="006519B7">
        <w:rPr>
          <w:rFonts w:ascii="Arial" w:hAnsi="Arial" w:cs="Arial"/>
          <w:lang w:eastAsia="en-US"/>
        </w:rPr>
        <w:t>bude obsahovat právně teoretický základ zabývající se právními předpisy jako prameny práva v právním řádu České republiky a jejich předchůdců (od</w:t>
      </w:r>
      <w:r w:rsidR="00085003">
        <w:rPr>
          <w:rFonts w:ascii="Arial" w:hAnsi="Arial" w:cs="Arial"/>
          <w:lang w:eastAsia="en-US"/>
        </w:rPr>
        <w:t> </w:t>
      </w:r>
      <w:r w:rsidR="006519B7">
        <w:rPr>
          <w:rFonts w:ascii="Arial" w:hAnsi="Arial" w:cs="Arial"/>
          <w:lang w:eastAsia="en-US"/>
        </w:rPr>
        <w:t>28.</w:t>
      </w:r>
      <w:r w:rsidR="00085003">
        <w:rPr>
          <w:rFonts w:ascii="Arial" w:hAnsi="Arial" w:cs="Arial"/>
          <w:lang w:eastAsia="en-US"/>
        </w:rPr>
        <w:t> </w:t>
      </w:r>
      <w:r w:rsidR="006519B7">
        <w:rPr>
          <w:rFonts w:ascii="Arial" w:hAnsi="Arial" w:cs="Arial"/>
          <w:lang w:eastAsia="en-US"/>
        </w:rPr>
        <w:t>října 1918)</w:t>
      </w:r>
      <w:r w:rsidR="008F2128">
        <w:rPr>
          <w:rFonts w:ascii="Arial" w:hAnsi="Arial" w:cs="Arial"/>
          <w:lang w:eastAsia="en-US"/>
        </w:rPr>
        <w:t xml:space="preserve">, a to se zaměřením na </w:t>
      </w:r>
      <w:r w:rsidR="001F0E2E">
        <w:rPr>
          <w:rFonts w:ascii="Arial" w:hAnsi="Arial" w:cs="Arial"/>
          <w:lang w:eastAsia="en-US"/>
        </w:rPr>
        <w:t>fenomén</w:t>
      </w:r>
      <w:r w:rsidR="008F2128">
        <w:rPr>
          <w:rFonts w:ascii="Arial" w:hAnsi="Arial" w:cs="Arial"/>
          <w:lang w:eastAsia="en-US"/>
        </w:rPr>
        <w:t xml:space="preserve"> obsoletních právních předpisů.</w:t>
      </w:r>
      <w:r w:rsidR="00085003">
        <w:rPr>
          <w:rFonts w:ascii="Arial" w:hAnsi="Arial" w:cs="Arial"/>
          <w:lang w:eastAsia="en-US"/>
        </w:rPr>
        <w:t xml:space="preserve"> </w:t>
      </w:r>
    </w:p>
    <w:p w14:paraId="0AB019F8" w14:textId="77777777" w:rsidR="006519B7" w:rsidRDefault="006519B7" w:rsidP="00256B96">
      <w:pPr>
        <w:pStyle w:val="Odstavecseseznamem"/>
        <w:suppressAutoHyphens w:val="0"/>
        <w:spacing w:line="276" w:lineRule="auto"/>
        <w:ind w:left="786"/>
        <w:jc w:val="both"/>
        <w:rPr>
          <w:rFonts w:ascii="Arial" w:hAnsi="Arial" w:cs="Arial"/>
          <w:lang w:eastAsia="en-US"/>
        </w:rPr>
      </w:pPr>
    </w:p>
    <w:p w14:paraId="20E0FBCA" w14:textId="77777777" w:rsidR="00256B96" w:rsidRDefault="000E089C" w:rsidP="00256B96">
      <w:pPr>
        <w:pStyle w:val="Odstavecseseznamem"/>
        <w:suppressAutoHyphens w:val="0"/>
        <w:spacing w:line="276" w:lineRule="auto"/>
        <w:ind w:left="786"/>
        <w:jc w:val="both"/>
        <w:rPr>
          <w:rFonts w:ascii="Arial" w:eastAsia="Calibri" w:hAnsi="Arial" w:cs="Arial"/>
          <w:lang w:eastAsia="en-US"/>
        </w:rPr>
      </w:pPr>
      <w:r>
        <w:rPr>
          <w:rFonts w:ascii="Arial" w:hAnsi="Arial" w:cs="Arial"/>
          <w:lang w:eastAsia="en-US"/>
        </w:rPr>
        <w:t>Úvodní t</w:t>
      </w:r>
      <w:r w:rsidR="00256B96">
        <w:rPr>
          <w:rFonts w:ascii="Arial" w:hAnsi="Arial" w:cs="Arial"/>
          <w:lang w:eastAsia="en-US"/>
        </w:rPr>
        <w:t xml:space="preserve">extová část Analýzy </w:t>
      </w:r>
      <w:r w:rsidR="006519B7">
        <w:rPr>
          <w:rFonts w:ascii="Arial" w:hAnsi="Arial" w:cs="Arial"/>
          <w:lang w:eastAsia="en-US"/>
        </w:rPr>
        <w:t xml:space="preserve">dále </w:t>
      </w:r>
      <w:r w:rsidR="00256B96">
        <w:rPr>
          <w:rFonts w:ascii="Arial" w:hAnsi="Arial" w:cs="Arial"/>
          <w:lang w:eastAsia="en-US"/>
        </w:rPr>
        <w:t>podrobně popíše</w:t>
      </w:r>
      <w:r w:rsidR="00256B96" w:rsidRPr="00C41DF4">
        <w:rPr>
          <w:rFonts w:ascii="Arial" w:hAnsi="Arial" w:cs="Arial"/>
          <w:lang w:eastAsia="en-US"/>
        </w:rPr>
        <w:t xml:space="preserve"> výsledky </w:t>
      </w:r>
      <w:r w:rsidR="00256B96">
        <w:rPr>
          <w:rFonts w:ascii="Arial" w:hAnsi="Arial" w:cs="Arial"/>
          <w:lang w:eastAsia="en-US"/>
        </w:rPr>
        <w:t>analyzování</w:t>
      </w:r>
      <w:r w:rsidR="00256B96" w:rsidRPr="00C41DF4">
        <w:rPr>
          <w:rFonts w:ascii="Arial" w:hAnsi="Arial" w:cs="Arial"/>
          <w:lang w:eastAsia="en-US"/>
        </w:rPr>
        <w:t xml:space="preserve"> </w:t>
      </w:r>
      <w:r w:rsidR="00256B96">
        <w:rPr>
          <w:rFonts w:ascii="Arial" w:hAnsi="Arial" w:cs="Arial"/>
          <w:lang w:eastAsia="en-US"/>
        </w:rPr>
        <w:t xml:space="preserve">právního řádu České republiky </w:t>
      </w:r>
      <w:r w:rsidR="00256B96" w:rsidRPr="00C41DF4">
        <w:rPr>
          <w:rFonts w:ascii="Arial" w:hAnsi="Arial" w:cs="Arial"/>
          <w:lang w:eastAsia="en-US"/>
        </w:rPr>
        <w:t xml:space="preserve">a detailně </w:t>
      </w:r>
      <w:r w:rsidR="00256B96">
        <w:rPr>
          <w:rFonts w:ascii="Arial" w:hAnsi="Arial" w:cs="Arial"/>
          <w:lang w:eastAsia="en-US"/>
        </w:rPr>
        <w:t>charakterizuje</w:t>
      </w:r>
      <w:r w:rsidR="00256B96" w:rsidRPr="00C41DF4">
        <w:rPr>
          <w:rFonts w:ascii="Arial" w:hAnsi="Arial" w:cs="Arial"/>
          <w:lang w:eastAsia="en-US"/>
        </w:rPr>
        <w:t xml:space="preserve"> </w:t>
      </w:r>
      <w:r w:rsidR="00256B96" w:rsidRPr="00C41DF4">
        <w:rPr>
          <w:rFonts w:ascii="Arial" w:eastAsia="Calibri" w:hAnsi="Arial" w:cs="Arial"/>
          <w:lang w:eastAsia="en-US"/>
        </w:rPr>
        <w:t>postupy, metody a</w:t>
      </w:r>
      <w:r w:rsidR="001F0E2E">
        <w:rPr>
          <w:rFonts w:ascii="Arial" w:eastAsia="Calibri" w:hAnsi="Arial" w:cs="Arial"/>
          <w:lang w:eastAsia="en-US"/>
        </w:rPr>
        <w:t> </w:t>
      </w:r>
      <w:r w:rsidR="00256B96" w:rsidRPr="00C41DF4">
        <w:rPr>
          <w:rFonts w:ascii="Arial" w:eastAsia="Calibri" w:hAnsi="Arial" w:cs="Arial"/>
          <w:lang w:eastAsia="en-US"/>
        </w:rPr>
        <w:t xml:space="preserve">techniky, které </w:t>
      </w:r>
      <w:r w:rsidR="00256B96">
        <w:rPr>
          <w:rFonts w:ascii="Arial" w:eastAsia="Calibri" w:hAnsi="Arial" w:cs="Arial"/>
          <w:lang w:eastAsia="en-US"/>
        </w:rPr>
        <w:t xml:space="preserve">obecně </w:t>
      </w:r>
      <w:r w:rsidR="00256B96" w:rsidRPr="00C41DF4">
        <w:rPr>
          <w:rFonts w:ascii="Arial" w:eastAsia="Calibri" w:hAnsi="Arial" w:cs="Arial"/>
          <w:lang w:eastAsia="en-US"/>
        </w:rPr>
        <w:t xml:space="preserve">vedou k identifikování </w:t>
      </w:r>
      <w:r w:rsidR="00256B96">
        <w:rPr>
          <w:rFonts w:ascii="Arial" w:eastAsia="Calibri" w:hAnsi="Arial" w:cs="Arial"/>
          <w:lang w:eastAsia="en-US"/>
        </w:rPr>
        <w:t>obsoletního právního předpisu, resp. k identifikaci, že se o obsoletní právní předpis nejedná.</w:t>
      </w:r>
      <w:r w:rsidR="00256B96" w:rsidRPr="00C41DF4">
        <w:rPr>
          <w:rFonts w:ascii="Arial" w:eastAsia="Calibri" w:hAnsi="Arial" w:cs="Arial"/>
          <w:lang w:eastAsia="en-US"/>
        </w:rPr>
        <w:t xml:space="preserve"> </w:t>
      </w:r>
      <w:r w:rsidR="00256B96">
        <w:rPr>
          <w:rFonts w:ascii="Arial" w:eastAsia="Calibri" w:hAnsi="Arial" w:cs="Arial"/>
          <w:lang w:eastAsia="en-US"/>
        </w:rPr>
        <w:t xml:space="preserve">Tento detailní popis postupů, metod a technik bude dostatečně </w:t>
      </w:r>
      <w:r w:rsidR="00085003">
        <w:rPr>
          <w:rFonts w:ascii="Arial" w:eastAsia="Calibri" w:hAnsi="Arial" w:cs="Arial"/>
          <w:lang w:eastAsia="en-US"/>
        </w:rPr>
        <w:t xml:space="preserve">teoreticky fundovaný </w:t>
      </w:r>
      <w:r w:rsidR="00256B96">
        <w:rPr>
          <w:rFonts w:ascii="Arial" w:eastAsia="Calibri" w:hAnsi="Arial" w:cs="Arial"/>
          <w:lang w:eastAsia="en-US"/>
        </w:rPr>
        <w:t>a</w:t>
      </w:r>
      <w:r w:rsidR="00085003">
        <w:rPr>
          <w:rFonts w:ascii="Arial" w:eastAsia="Calibri" w:hAnsi="Arial" w:cs="Arial"/>
          <w:lang w:eastAsia="en-US"/>
        </w:rPr>
        <w:t> </w:t>
      </w:r>
      <w:r w:rsidR="00256B96">
        <w:rPr>
          <w:rFonts w:ascii="Arial" w:eastAsia="Calibri" w:hAnsi="Arial" w:cs="Arial"/>
          <w:lang w:eastAsia="en-US"/>
        </w:rPr>
        <w:t>zásadně použitelný pro budoucí identifikaci obsoletních právních předpisů.</w:t>
      </w:r>
    </w:p>
    <w:p w14:paraId="72282CCD" w14:textId="77777777" w:rsidR="00256B96" w:rsidRDefault="00256B96" w:rsidP="00256B96">
      <w:pPr>
        <w:pStyle w:val="Odstavecseseznamem"/>
        <w:suppressAutoHyphens w:val="0"/>
        <w:spacing w:line="276" w:lineRule="auto"/>
        <w:ind w:left="786"/>
        <w:jc w:val="both"/>
        <w:rPr>
          <w:rFonts w:ascii="Arial" w:eastAsia="Calibri" w:hAnsi="Arial" w:cs="Arial"/>
          <w:lang w:eastAsia="en-US"/>
        </w:rPr>
      </w:pPr>
    </w:p>
    <w:p w14:paraId="0A4BAC10" w14:textId="77777777" w:rsidR="00256B96" w:rsidRDefault="000E089C" w:rsidP="00256B96">
      <w:pPr>
        <w:pStyle w:val="Odstavecseseznamem"/>
        <w:suppressAutoHyphens w:val="0"/>
        <w:spacing w:line="276" w:lineRule="auto"/>
        <w:ind w:left="786"/>
        <w:jc w:val="both"/>
        <w:rPr>
          <w:rFonts w:ascii="Arial" w:eastAsia="Calibri" w:hAnsi="Arial" w:cs="Arial"/>
          <w:lang w:eastAsia="en-US"/>
        </w:rPr>
      </w:pPr>
      <w:r>
        <w:rPr>
          <w:rFonts w:ascii="Arial" w:eastAsia="Calibri" w:hAnsi="Arial" w:cs="Arial"/>
          <w:lang w:eastAsia="en-US"/>
        </w:rPr>
        <w:t>Úvodní t</w:t>
      </w:r>
      <w:r w:rsidR="00256B96">
        <w:rPr>
          <w:rFonts w:ascii="Arial" w:eastAsia="Calibri" w:hAnsi="Arial" w:cs="Arial"/>
          <w:lang w:eastAsia="en-US"/>
        </w:rPr>
        <w:t xml:space="preserve">extová část analýzy rovněž popíše </w:t>
      </w:r>
      <w:r w:rsidR="00256B96" w:rsidRPr="00C41DF4">
        <w:rPr>
          <w:rFonts w:ascii="Arial" w:eastAsia="Calibri" w:hAnsi="Arial" w:cs="Arial"/>
          <w:lang w:eastAsia="en-US"/>
        </w:rPr>
        <w:t>způsob sběru relevantních dat a</w:t>
      </w:r>
      <w:r w:rsidR="00085003">
        <w:rPr>
          <w:rFonts w:ascii="Arial" w:eastAsia="Calibri" w:hAnsi="Arial" w:cs="Arial"/>
          <w:lang w:eastAsia="en-US"/>
        </w:rPr>
        <w:t> </w:t>
      </w:r>
      <w:r w:rsidR="00256B96" w:rsidRPr="00C41DF4">
        <w:rPr>
          <w:rFonts w:ascii="Arial" w:eastAsia="Calibri" w:hAnsi="Arial" w:cs="Arial"/>
          <w:lang w:eastAsia="en-US"/>
        </w:rPr>
        <w:t xml:space="preserve">jejich zpracování. </w:t>
      </w:r>
    </w:p>
    <w:p w14:paraId="14149165" w14:textId="77777777" w:rsidR="000E089C" w:rsidRDefault="000E089C">
      <w:pPr>
        <w:pStyle w:val="Odstavecseseznamem"/>
        <w:suppressAutoHyphens w:val="0"/>
        <w:spacing w:line="276" w:lineRule="auto"/>
        <w:ind w:left="786"/>
        <w:jc w:val="both"/>
        <w:rPr>
          <w:rFonts w:ascii="Arial" w:eastAsia="Calibri" w:hAnsi="Arial" w:cs="Arial"/>
          <w:lang w:eastAsia="en-US"/>
        </w:rPr>
      </w:pPr>
    </w:p>
    <w:p w14:paraId="741A9047" w14:textId="77777777" w:rsidR="00AA3629" w:rsidRPr="0045027A" w:rsidRDefault="000E089C" w:rsidP="00085003">
      <w:pPr>
        <w:pStyle w:val="Odstavecseseznamem"/>
        <w:numPr>
          <w:ilvl w:val="0"/>
          <w:numId w:val="42"/>
        </w:numPr>
        <w:suppressAutoHyphens w:val="0"/>
        <w:spacing w:after="200" w:line="276" w:lineRule="auto"/>
        <w:jc w:val="both"/>
        <w:rPr>
          <w:rFonts w:ascii="Arial" w:eastAsia="Calibri" w:hAnsi="Arial" w:cs="Arial"/>
          <w:u w:val="single"/>
          <w:lang w:eastAsia="en-US"/>
        </w:rPr>
      </w:pPr>
      <w:r>
        <w:rPr>
          <w:rFonts w:ascii="Arial" w:eastAsia="Calibri" w:hAnsi="Arial" w:cs="Arial"/>
          <w:lang w:eastAsia="en-US"/>
        </w:rPr>
        <w:t xml:space="preserve">Závěrečná textová část Analýzy </w:t>
      </w:r>
      <w:r w:rsidR="001F0E2E">
        <w:rPr>
          <w:rFonts w:ascii="Arial" w:eastAsia="Calibri" w:hAnsi="Arial" w:cs="Arial"/>
          <w:lang w:eastAsia="en-US"/>
        </w:rPr>
        <w:t xml:space="preserve">(Závěr) </w:t>
      </w:r>
      <w:r w:rsidR="00620D3D">
        <w:rPr>
          <w:rFonts w:ascii="Arial" w:hAnsi="Arial" w:cs="Arial"/>
          <w:lang w:eastAsia="en-US"/>
        </w:rPr>
        <w:t xml:space="preserve">v rozsahu alespoň 10 normostran </w:t>
      </w:r>
      <w:r>
        <w:rPr>
          <w:rFonts w:ascii="Arial" w:eastAsia="Calibri" w:hAnsi="Arial" w:cs="Arial"/>
          <w:lang w:eastAsia="en-US"/>
        </w:rPr>
        <w:t xml:space="preserve">bude </w:t>
      </w:r>
      <w:r w:rsidR="00AA3629">
        <w:rPr>
          <w:rFonts w:ascii="Arial" w:eastAsia="Calibri" w:hAnsi="Arial" w:cs="Arial"/>
          <w:lang w:eastAsia="en-US"/>
        </w:rPr>
        <w:t xml:space="preserve">obsahovat </w:t>
      </w:r>
      <w:r w:rsidR="00F85300">
        <w:rPr>
          <w:rFonts w:ascii="Arial" w:eastAsia="Calibri" w:hAnsi="Arial" w:cs="Arial"/>
          <w:lang w:eastAsia="en-US"/>
        </w:rPr>
        <w:t>shrnutí výsledků Analýzy,</w:t>
      </w:r>
      <w:r w:rsidR="00AA3629">
        <w:rPr>
          <w:rFonts w:ascii="Arial" w:eastAsia="Calibri" w:hAnsi="Arial" w:cs="Arial"/>
          <w:lang w:eastAsia="en-US"/>
        </w:rPr>
        <w:t> zhodnocení dosažení jejích cílů a</w:t>
      </w:r>
      <w:r w:rsidR="00085003">
        <w:rPr>
          <w:rFonts w:ascii="Arial" w:eastAsia="Calibri" w:hAnsi="Arial" w:cs="Arial"/>
          <w:lang w:eastAsia="en-US"/>
        </w:rPr>
        <w:t> </w:t>
      </w:r>
      <w:r w:rsidR="00AA3629">
        <w:rPr>
          <w:rFonts w:ascii="Arial" w:eastAsia="Calibri" w:hAnsi="Arial" w:cs="Arial"/>
          <w:lang w:eastAsia="en-US"/>
        </w:rPr>
        <w:t xml:space="preserve">dále </w:t>
      </w:r>
      <w:r w:rsidR="00AA3629" w:rsidRPr="00085003">
        <w:rPr>
          <w:rFonts w:ascii="Arial" w:eastAsia="Calibri" w:hAnsi="Arial" w:cs="Arial"/>
          <w:lang w:eastAsia="en-US"/>
        </w:rPr>
        <w:t>návrh způsobu, jakým mají být obsoletní právní předpisy zrušeny</w:t>
      </w:r>
      <w:r w:rsidR="00AA3629">
        <w:rPr>
          <w:rFonts w:ascii="Arial" w:eastAsia="Calibri" w:hAnsi="Arial" w:cs="Arial"/>
          <w:lang w:eastAsia="en-US"/>
        </w:rPr>
        <w:t xml:space="preserve">, včetně odůvodnění tohoto </w:t>
      </w:r>
      <w:r w:rsidR="00085003">
        <w:rPr>
          <w:rFonts w:ascii="Arial" w:eastAsia="Calibri" w:hAnsi="Arial" w:cs="Arial"/>
          <w:lang w:eastAsia="en-US"/>
        </w:rPr>
        <w:t>postupu</w:t>
      </w:r>
      <w:r w:rsidR="00AA3629" w:rsidRPr="00085003">
        <w:rPr>
          <w:rFonts w:ascii="Arial" w:eastAsia="Calibri" w:hAnsi="Arial" w:cs="Arial"/>
          <w:lang w:eastAsia="en-US"/>
        </w:rPr>
        <w:t>.</w:t>
      </w:r>
    </w:p>
    <w:p w14:paraId="3A1DE3A9" w14:textId="77777777" w:rsidR="00256B96" w:rsidRDefault="00256B96" w:rsidP="00256B96">
      <w:pPr>
        <w:pStyle w:val="Odstavecseseznamem"/>
        <w:suppressAutoHyphens w:val="0"/>
        <w:spacing w:line="276" w:lineRule="auto"/>
        <w:ind w:left="786"/>
        <w:jc w:val="both"/>
        <w:rPr>
          <w:rFonts w:ascii="Arial" w:eastAsia="Calibri" w:hAnsi="Arial" w:cs="Arial"/>
          <w:lang w:eastAsia="en-US"/>
        </w:rPr>
      </w:pPr>
    </w:p>
    <w:p w14:paraId="27B3AB94" w14:textId="41602971" w:rsidR="0001012D" w:rsidRPr="0045027A" w:rsidRDefault="00936F89" w:rsidP="0045027A">
      <w:pPr>
        <w:pStyle w:val="Odstavecseseznamem"/>
        <w:numPr>
          <w:ilvl w:val="0"/>
          <w:numId w:val="37"/>
        </w:numPr>
        <w:suppressAutoHyphens w:val="0"/>
        <w:spacing w:line="276" w:lineRule="auto"/>
        <w:jc w:val="both"/>
        <w:rPr>
          <w:rFonts w:ascii="Arial" w:hAnsi="Arial" w:cs="Arial"/>
          <w:u w:val="single"/>
          <w:lang w:eastAsia="en-US"/>
        </w:rPr>
      </w:pPr>
      <w:r>
        <w:rPr>
          <w:rFonts w:ascii="Arial" w:hAnsi="Arial" w:cs="Arial"/>
          <w:u w:val="single"/>
          <w:lang w:eastAsia="en-US"/>
        </w:rPr>
        <w:t xml:space="preserve">Výstupem z </w:t>
      </w:r>
      <w:r w:rsidR="00844D82">
        <w:rPr>
          <w:rFonts w:ascii="Arial" w:hAnsi="Arial" w:cs="Arial"/>
          <w:u w:val="single"/>
          <w:lang w:eastAsia="en-US"/>
        </w:rPr>
        <w:t>A</w:t>
      </w:r>
      <w:r w:rsidR="00261EF4" w:rsidRPr="0045027A">
        <w:rPr>
          <w:rFonts w:ascii="Arial" w:hAnsi="Arial" w:cs="Arial"/>
          <w:u w:val="single"/>
          <w:lang w:eastAsia="en-US"/>
        </w:rPr>
        <w:t xml:space="preserve">nalýzy </w:t>
      </w:r>
      <w:r>
        <w:rPr>
          <w:rFonts w:ascii="Arial" w:hAnsi="Arial" w:cs="Arial"/>
          <w:u w:val="single"/>
          <w:lang w:eastAsia="en-US"/>
        </w:rPr>
        <w:t>bude</w:t>
      </w:r>
      <w:r w:rsidR="00261EF4" w:rsidRPr="0045027A">
        <w:rPr>
          <w:rFonts w:ascii="Arial" w:hAnsi="Arial" w:cs="Arial"/>
          <w:u w:val="single"/>
          <w:lang w:eastAsia="en-US"/>
        </w:rPr>
        <w:t xml:space="preserve"> </w:t>
      </w:r>
      <w:r w:rsidR="00BC1685">
        <w:rPr>
          <w:rFonts w:ascii="Arial" w:hAnsi="Arial" w:cs="Arial"/>
          <w:u w:val="single"/>
          <w:lang w:eastAsia="en-US"/>
        </w:rPr>
        <w:t xml:space="preserve">databáze </w:t>
      </w:r>
      <w:r w:rsidR="0089457F">
        <w:rPr>
          <w:rFonts w:ascii="Arial" w:hAnsi="Arial" w:cs="Arial"/>
          <w:u w:val="single"/>
          <w:lang w:eastAsia="en-US"/>
        </w:rPr>
        <w:t xml:space="preserve">všech </w:t>
      </w:r>
      <w:r w:rsidR="00261EF4" w:rsidRPr="0045027A">
        <w:rPr>
          <w:rFonts w:ascii="Arial" w:hAnsi="Arial" w:cs="Arial"/>
          <w:u w:val="single"/>
          <w:lang w:eastAsia="en-US"/>
        </w:rPr>
        <w:t>právní</w:t>
      </w:r>
      <w:r w:rsidR="00FE74FC" w:rsidRPr="0045027A">
        <w:rPr>
          <w:rFonts w:ascii="Arial" w:hAnsi="Arial" w:cs="Arial"/>
          <w:u w:val="single"/>
          <w:lang w:eastAsia="en-US"/>
        </w:rPr>
        <w:t>ch</w:t>
      </w:r>
      <w:r w:rsidR="00261EF4" w:rsidRPr="0045027A">
        <w:rPr>
          <w:rFonts w:ascii="Arial" w:hAnsi="Arial" w:cs="Arial"/>
          <w:u w:val="single"/>
          <w:lang w:eastAsia="en-US"/>
        </w:rPr>
        <w:t xml:space="preserve"> předpisů vydaných v těchto publikačních prostředcích</w:t>
      </w:r>
      <w:r w:rsidR="0074223A">
        <w:rPr>
          <w:rFonts w:ascii="Arial" w:hAnsi="Arial" w:cs="Arial"/>
          <w:u w:val="single"/>
          <w:lang w:eastAsia="en-US"/>
        </w:rPr>
        <w:t xml:space="preserve"> (dále jen „databáze</w:t>
      </w:r>
      <w:r w:rsidR="00563E8D">
        <w:rPr>
          <w:rFonts w:ascii="Arial" w:hAnsi="Arial" w:cs="Arial"/>
          <w:u w:val="single"/>
          <w:lang w:eastAsia="en-US"/>
        </w:rPr>
        <w:t>“</w:t>
      </w:r>
      <w:r w:rsidR="0074223A">
        <w:rPr>
          <w:rFonts w:ascii="Arial" w:hAnsi="Arial" w:cs="Arial"/>
          <w:u w:val="single"/>
          <w:lang w:eastAsia="en-US"/>
        </w:rPr>
        <w:t>)</w:t>
      </w:r>
      <w:r w:rsidR="0001012D" w:rsidRPr="0045027A">
        <w:rPr>
          <w:rFonts w:ascii="Arial" w:hAnsi="Arial" w:cs="Arial"/>
          <w:u w:val="single"/>
          <w:lang w:eastAsia="en-US"/>
        </w:rPr>
        <w:t>:</w:t>
      </w:r>
    </w:p>
    <w:p w14:paraId="32CA16CC" w14:textId="77777777" w:rsidR="00CC768C" w:rsidRPr="0005229F" w:rsidRDefault="00CC768C" w:rsidP="0001012D">
      <w:pPr>
        <w:suppressAutoHyphens w:val="0"/>
        <w:spacing w:line="276" w:lineRule="auto"/>
        <w:ind w:left="426"/>
        <w:jc w:val="both"/>
        <w:rPr>
          <w:rFonts w:ascii="Arial" w:hAnsi="Arial" w:cs="Arial"/>
          <w:sz w:val="22"/>
          <w:szCs w:val="22"/>
          <w:lang w:eastAsia="en-US"/>
        </w:rPr>
      </w:pPr>
    </w:p>
    <w:tbl>
      <w:tblPr>
        <w:tblW w:w="4739" w:type="pct"/>
        <w:tblCellSpacing w:w="0"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3260"/>
      </w:tblGrid>
      <w:tr w:rsidR="00824D66" w:rsidRPr="0005229F" w14:paraId="2023F9D9" w14:textId="77777777" w:rsidTr="0005229F">
        <w:trPr>
          <w:tblCellSpacing w:w="0" w:type="dxa"/>
        </w:trPr>
        <w:tc>
          <w:tcPr>
            <w:tcW w:w="3115" w:type="pct"/>
            <w:tcMar>
              <w:top w:w="15" w:type="dxa"/>
              <w:left w:w="15" w:type="dxa"/>
              <w:bottom w:w="15" w:type="dxa"/>
              <w:right w:w="15" w:type="dxa"/>
            </w:tcMar>
            <w:vAlign w:val="center"/>
            <w:hideMark/>
          </w:tcPr>
          <w:p w14:paraId="0DD95546" w14:textId="77777777" w:rsidR="00824D66" w:rsidRPr="0005229F" w:rsidRDefault="00824D66">
            <w:pPr>
              <w:rPr>
                <w:rFonts w:ascii="Arial" w:hAnsi="Arial" w:cs="Arial"/>
                <w:sz w:val="22"/>
                <w:szCs w:val="22"/>
              </w:rPr>
            </w:pPr>
            <w:r w:rsidRPr="0005229F">
              <w:rPr>
                <w:rStyle w:val="Zdraznn"/>
                <w:rFonts w:ascii="Arial" w:hAnsi="Arial" w:cs="Arial"/>
                <w:sz w:val="22"/>
                <w:szCs w:val="22"/>
              </w:rPr>
              <w:t>Název sbírky</w:t>
            </w:r>
          </w:p>
        </w:tc>
        <w:tc>
          <w:tcPr>
            <w:tcW w:w="1885" w:type="pct"/>
            <w:tcMar>
              <w:top w:w="15" w:type="dxa"/>
              <w:left w:w="15" w:type="dxa"/>
              <w:bottom w:w="15" w:type="dxa"/>
              <w:right w:w="15" w:type="dxa"/>
            </w:tcMar>
            <w:vAlign w:val="center"/>
            <w:hideMark/>
          </w:tcPr>
          <w:p w14:paraId="65A904A4" w14:textId="77777777" w:rsidR="00824D66" w:rsidRPr="0005229F" w:rsidRDefault="00824D66" w:rsidP="00CC768C">
            <w:pPr>
              <w:rPr>
                <w:rFonts w:ascii="Arial" w:hAnsi="Arial" w:cs="Arial"/>
                <w:sz w:val="22"/>
                <w:szCs w:val="22"/>
              </w:rPr>
            </w:pPr>
            <w:r w:rsidRPr="0005229F">
              <w:rPr>
                <w:rStyle w:val="Zdraznn"/>
                <w:rFonts w:ascii="Arial" w:hAnsi="Arial" w:cs="Arial"/>
                <w:sz w:val="22"/>
                <w:szCs w:val="22"/>
              </w:rPr>
              <w:t>vycházející v období</w:t>
            </w:r>
          </w:p>
        </w:tc>
      </w:tr>
      <w:tr w:rsidR="00824D66" w:rsidRPr="0005229F" w14:paraId="015B5CCC" w14:textId="77777777" w:rsidTr="0005229F">
        <w:trPr>
          <w:tblCellSpacing w:w="0" w:type="dxa"/>
        </w:trPr>
        <w:tc>
          <w:tcPr>
            <w:tcW w:w="3115" w:type="pct"/>
            <w:tcMar>
              <w:top w:w="15" w:type="dxa"/>
              <w:left w:w="15" w:type="dxa"/>
              <w:bottom w:w="15" w:type="dxa"/>
              <w:right w:w="15" w:type="dxa"/>
            </w:tcMar>
            <w:vAlign w:val="center"/>
            <w:hideMark/>
          </w:tcPr>
          <w:p w14:paraId="1F34AD63" w14:textId="77777777" w:rsidR="00824D66" w:rsidRPr="0005229F" w:rsidRDefault="00824D66" w:rsidP="00824D66">
            <w:pPr>
              <w:rPr>
                <w:rFonts w:ascii="Arial" w:hAnsi="Arial" w:cs="Arial"/>
                <w:sz w:val="22"/>
                <w:szCs w:val="22"/>
              </w:rPr>
            </w:pPr>
            <w:r w:rsidRPr="0005229F">
              <w:rPr>
                <w:rFonts w:ascii="Arial" w:hAnsi="Arial" w:cs="Arial"/>
                <w:sz w:val="22"/>
                <w:szCs w:val="22"/>
              </w:rPr>
              <w:t>Sbírka zákonů a nařízení státu československého (Sb. z. a n.)</w:t>
            </w:r>
          </w:p>
        </w:tc>
        <w:tc>
          <w:tcPr>
            <w:tcW w:w="1885" w:type="pct"/>
            <w:tcMar>
              <w:top w:w="15" w:type="dxa"/>
              <w:left w:w="15" w:type="dxa"/>
              <w:bottom w:w="15" w:type="dxa"/>
              <w:right w:w="15" w:type="dxa"/>
            </w:tcMar>
            <w:vAlign w:val="center"/>
            <w:hideMark/>
          </w:tcPr>
          <w:p w14:paraId="42EC613E" w14:textId="77777777" w:rsidR="00824D66" w:rsidRPr="0005229F" w:rsidRDefault="00824D66">
            <w:pPr>
              <w:rPr>
                <w:rFonts w:ascii="Arial" w:hAnsi="Arial" w:cs="Arial"/>
                <w:sz w:val="22"/>
                <w:szCs w:val="22"/>
              </w:rPr>
            </w:pPr>
            <w:r w:rsidRPr="0005229F">
              <w:rPr>
                <w:rFonts w:ascii="Arial" w:hAnsi="Arial" w:cs="Arial"/>
                <w:sz w:val="22"/>
                <w:szCs w:val="22"/>
              </w:rPr>
              <w:t>od 4. 11. 1918 do 25. 11. 1938</w:t>
            </w:r>
          </w:p>
        </w:tc>
      </w:tr>
      <w:tr w:rsidR="00824D66" w:rsidRPr="0005229F" w14:paraId="137EB98D" w14:textId="77777777" w:rsidTr="0005229F">
        <w:trPr>
          <w:tblCellSpacing w:w="0" w:type="dxa"/>
        </w:trPr>
        <w:tc>
          <w:tcPr>
            <w:tcW w:w="3115" w:type="pct"/>
            <w:tcMar>
              <w:top w:w="15" w:type="dxa"/>
              <w:left w:w="15" w:type="dxa"/>
              <w:bottom w:w="15" w:type="dxa"/>
              <w:right w:w="15" w:type="dxa"/>
            </w:tcMar>
            <w:vAlign w:val="center"/>
            <w:hideMark/>
          </w:tcPr>
          <w:p w14:paraId="2903A659" w14:textId="77777777" w:rsidR="00824D66" w:rsidRPr="0005229F" w:rsidRDefault="00824D66">
            <w:pPr>
              <w:rPr>
                <w:rFonts w:ascii="Arial" w:hAnsi="Arial" w:cs="Arial"/>
                <w:sz w:val="22"/>
                <w:szCs w:val="22"/>
              </w:rPr>
            </w:pPr>
            <w:r w:rsidRPr="0005229F">
              <w:rPr>
                <w:rFonts w:ascii="Arial" w:hAnsi="Arial" w:cs="Arial"/>
                <w:sz w:val="22"/>
                <w:szCs w:val="22"/>
              </w:rPr>
              <w:t>Úřední věstník československý (Úř. věst. čsl.)</w:t>
            </w:r>
          </w:p>
        </w:tc>
        <w:tc>
          <w:tcPr>
            <w:tcW w:w="1885" w:type="pct"/>
            <w:tcMar>
              <w:top w:w="15" w:type="dxa"/>
              <w:left w:w="15" w:type="dxa"/>
              <w:bottom w:w="15" w:type="dxa"/>
              <w:right w:w="15" w:type="dxa"/>
            </w:tcMar>
            <w:vAlign w:val="center"/>
            <w:hideMark/>
          </w:tcPr>
          <w:p w14:paraId="0C116C91" w14:textId="77777777" w:rsidR="00824D66" w:rsidRPr="0005229F" w:rsidRDefault="00824D66">
            <w:pPr>
              <w:rPr>
                <w:rFonts w:ascii="Arial" w:hAnsi="Arial" w:cs="Arial"/>
                <w:sz w:val="22"/>
                <w:szCs w:val="22"/>
              </w:rPr>
            </w:pPr>
            <w:r w:rsidRPr="0005229F">
              <w:rPr>
                <w:rFonts w:ascii="Arial" w:hAnsi="Arial" w:cs="Arial"/>
                <w:sz w:val="22"/>
                <w:szCs w:val="22"/>
              </w:rPr>
              <w:t>od 21. 7. 1940 do 5. 3. 1945</w:t>
            </w:r>
          </w:p>
        </w:tc>
      </w:tr>
      <w:tr w:rsidR="00824D66" w:rsidRPr="0005229F" w14:paraId="247C6825" w14:textId="77777777" w:rsidTr="0005229F">
        <w:trPr>
          <w:tblCellSpacing w:w="0" w:type="dxa"/>
        </w:trPr>
        <w:tc>
          <w:tcPr>
            <w:tcW w:w="3115" w:type="pct"/>
            <w:tcMar>
              <w:top w:w="15" w:type="dxa"/>
              <w:left w:w="15" w:type="dxa"/>
              <w:bottom w:w="15" w:type="dxa"/>
              <w:right w:w="15" w:type="dxa"/>
            </w:tcMar>
            <w:vAlign w:val="center"/>
            <w:hideMark/>
          </w:tcPr>
          <w:p w14:paraId="7FA12143" w14:textId="77777777" w:rsidR="00824D66" w:rsidRPr="0005229F" w:rsidRDefault="00824D66" w:rsidP="00824D66">
            <w:pPr>
              <w:rPr>
                <w:rFonts w:ascii="Arial" w:hAnsi="Arial" w:cs="Arial"/>
                <w:sz w:val="22"/>
                <w:szCs w:val="22"/>
              </w:rPr>
            </w:pPr>
            <w:r w:rsidRPr="0005229F">
              <w:rPr>
                <w:rFonts w:ascii="Arial" w:hAnsi="Arial" w:cs="Arial"/>
                <w:sz w:val="22"/>
                <w:szCs w:val="22"/>
              </w:rPr>
              <w:t>Sbírka zákonů a nařízení státu Československého (Sb. z. a n.)</w:t>
            </w:r>
          </w:p>
        </w:tc>
        <w:tc>
          <w:tcPr>
            <w:tcW w:w="1885" w:type="pct"/>
            <w:tcMar>
              <w:top w:w="15" w:type="dxa"/>
              <w:left w:w="15" w:type="dxa"/>
              <w:bottom w:w="15" w:type="dxa"/>
              <w:right w:w="15" w:type="dxa"/>
            </w:tcMar>
            <w:vAlign w:val="center"/>
            <w:hideMark/>
          </w:tcPr>
          <w:p w14:paraId="6385F106" w14:textId="77777777" w:rsidR="00824D66" w:rsidRPr="0005229F" w:rsidRDefault="00824D66">
            <w:pPr>
              <w:rPr>
                <w:rFonts w:ascii="Arial" w:hAnsi="Arial" w:cs="Arial"/>
                <w:sz w:val="22"/>
                <w:szCs w:val="22"/>
              </w:rPr>
            </w:pPr>
            <w:r w:rsidRPr="0005229F">
              <w:rPr>
                <w:rFonts w:ascii="Arial" w:hAnsi="Arial" w:cs="Arial"/>
                <w:sz w:val="22"/>
                <w:szCs w:val="22"/>
              </w:rPr>
              <w:t>od 4. 4. 1945 do 10. 7. 1945</w:t>
            </w:r>
          </w:p>
        </w:tc>
      </w:tr>
      <w:tr w:rsidR="00824D66" w:rsidRPr="0005229F" w14:paraId="09CF0E1A" w14:textId="77777777" w:rsidTr="0005229F">
        <w:trPr>
          <w:tblCellSpacing w:w="0" w:type="dxa"/>
        </w:trPr>
        <w:tc>
          <w:tcPr>
            <w:tcW w:w="3115" w:type="pct"/>
            <w:tcMar>
              <w:top w:w="15" w:type="dxa"/>
              <w:left w:w="15" w:type="dxa"/>
              <w:bottom w:w="15" w:type="dxa"/>
              <w:right w:w="15" w:type="dxa"/>
            </w:tcMar>
            <w:vAlign w:val="center"/>
            <w:hideMark/>
          </w:tcPr>
          <w:p w14:paraId="53B41BAC" w14:textId="77777777" w:rsidR="00824D66" w:rsidRPr="0005229F" w:rsidRDefault="00824D66">
            <w:pPr>
              <w:rPr>
                <w:rFonts w:ascii="Arial" w:hAnsi="Arial" w:cs="Arial"/>
                <w:sz w:val="22"/>
                <w:szCs w:val="22"/>
              </w:rPr>
            </w:pPr>
            <w:r w:rsidRPr="0005229F">
              <w:rPr>
                <w:rFonts w:ascii="Arial" w:hAnsi="Arial" w:cs="Arial"/>
                <w:sz w:val="22"/>
                <w:szCs w:val="22"/>
              </w:rPr>
              <w:t>Sbírka zákonů a nařízení republiky Československé (Sb. z. a n.)</w:t>
            </w:r>
          </w:p>
        </w:tc>
        <w:tc>
          <w:tcPr>
            <w:tcW w:w="1885" w:type="pct"/>
            <w:tcMar>
              <w:top w:w="15" w:type="dxa"/>
              <w:left w:w="15" w:type="dxa"/>
              <w:bottom w:w="15" w:type="dxa"/>
              <w:right w:w="15" w:type="dxa"/>
            </w:tcMar>
            <w:vAlign w:val="center"/>
            <w:hideMark/>
          </w:tcPr>
          <w:p w14:paraId="3F967338" w14:textId="77777777" w:rsidR="00824D66" w:rsidRPr="0005229F" w:rsidRDefault="00824D66">
            <w:pPr>
              <w:rPr>
                <w:rFonts w:ascii="Arial" w:hAnsi="Arial" w:cs="Arial"/>
                <w:sz w:val="22"/>
                <w:szCs w:val="22"/>
              </w:rPr>
            </w:pPr>
            <w:r w:rsidRPr="0005229F">
              <w:rPr>
                <w:rFonts w:ascii="Arial" w:hAnsi="Arial" w:cs="Arial"/>
                <w:sz w:val="22"/>
                <w:szCs w:val="22"/>
              </w:rPr>
              <w:t>od 11. 7. 1945 do 23. 8. 1948</w:t>
            </w:r>
          </w:p>
        </w:tc>
      </w:tr>
      <w:tr w:rsidR="00824D66" w:rsidRPr="0005229F" w14:paraId="457B55A6" w14:textId="77777777" w:rsidTr="0005229F">
        <w:trPr>
          <w:tblCellSpacing w:w="0" w:type="dxa"/>
        </w:trPr>
        <w:tc>
          <w:tcPr>
            <w:tcW w:w="3115" w:type="pct"/>
            <w:tcMar>
              <w:top w:w="15" w:type="dxa"/>
              <w:left w:w="15" w:type="dxa"/>
              <w:bottom w:w="15" w:type="dxa"/>
              <w:right w:w="15" w:type="dxa"/>
            </w:tcMar>
            <w:vAlign w:val="center"/>
            <w:hideMark/>
          </w:tcPr>
          <w:p w14:paraId="675CBE5B" w14:textId="77777777" w:rsidR="00824D66" w:rsidRPr="0005229F" w:rsidRDefault="00824D66">
            <w:pPr>
              <w:rPr>
                <w:rFonts w:ascii="Arial" w:hAnsi="Arial" w:cs="Arial"/>
                <w:sz w:val="22"/>
                <w:szCs w:val="22"/>
              </w:rPr>
            </w:pPr>
            <w:r w:rsidRPr="0005229F">
              <w:rPr>
                <w:rFonts w:ascii="Arial" w:hAnsi="Arial" w:cs="Arial"/>
                <w:sz w:val="22"/>
                <w:szCs w:val="22"/>
              </w:rPr>
              <w:t>Sbírka zákonů republiky Československé (Sb.)</w:t>
            </w:r>
          </w:p>
        </w:tc>
        <w:tc>
          <w:tcPr>
            <w:tcW w:w="1885" w:type="pct"/>
            <w:tcMar>
              <w:top w:w="15" w:type="dxa"/>
              <w:left w:w="15" w:type="dxa"/>
              <w:bottom w:w="15" w:type="dxa"/>
              <w:right w:w="15" w:type="dxa"/>
            </w:tcMar>
            <w:vAlign w:val="center"/>
            <w:hideMark/>
          </w:tcPr>
          <w:p w14:paraId="6BFF8AC3" w14:textId="77777777" w:rsidR="00824D66" w:rsidRPr="0005229F" w:rsidRDefault="00824D66">
            <w:pPr>
              <w:rPr>
                <w:rFonts w:ascii="Arial" w:hAnsi="Arial" w:cs="Arial"/>
                <w:sz w:val="22"/>
                <w:szCs w:val="22"/>
              </w:rPr>
            </w:pPr>
            <w:r w:rsidRPr="0005229F">
              <w:rPr>
                <w:rFonts w:ascii="Arial" w:hAnsi="Arial" w:cs="Arial"/>
                <w:sz w:val="22"/>
                <w:szCs w:val="22"/>
              </w:rPr>
              <w:t>od 24. 8. 1948 do 31. 12. 1959</w:t>
            </w:r>
          </w:p>
        </w:tc>
      </w:tr>
      <w:tr w:rsidR="00824D66" w:rsidRPr="0005229F" w14:paraId="1F97761C" w14:textId="77777777" w:rsidTr="0005229F">
        <w:trPr>
          <w:tblCellSpacing w:w="0" w:type="dxa"/>
        </w:trPr>
        <w:tc>
          <w:tcPr>
            <w:tcW w:w="3115" w:type="pct"/>
            <w:tcMar>
              <w:top w:w="15" w:type="dxa"/>
              <w:left w:w="15" w:type="dxa"/>
              <w:bottom w:w="15" w:type="dxa"/>
              <w:right w:w="15" w:type="dxa"/>
            </w:tcMar>
            <w:vAlign w:val="center"/>
            <w:hideMark/>
          </w:tcPr>
          <w:p w14:paraId="2791900E" w14:textId="77777777" w:rsidR="00824D66" w:rsidRPr="0005229F" w:rsidRDefault="00824D66">
            <w:pPr>
              <w:rPr>
                <w:rFonts w:ascii="Arial" w:hAnsi="Arial" w:cs="Arial"/>
                <w:sz w:val="22"/>
                <w:szCs w:val="22"/>
              </w:rPr>
            </w:pPr>
            <w:r w:rsidRPr="0005229F">
              <w:rPr>
                <w:rFonts w:ascii="Arial" w:hAnsi="Arial" w:cs="Arial"/>
                <w:sz w:val="22"/>
                <w:szCs w:val="22"/>
              </w:rPr>
              <w:t>Sbírka zákonů Republiky československé (Sb.)</w:t>
            </w:r>
          </w:p>
        </w:tc>
        <w:tc>
          <w:tcPr>
            <w:tcW w:w="1885" w:type="pct"/>
            <w:tcMar>
              <w:top w:w="15" w:type="dxa"/>
              <w:left w:w="15" w:type="dxa"/>
              <w:bottom w:w="15" w:type="dxa"/>
              <w:right w:w="15" w:type="dxa"/>
            </w:tcMar>
            <w:vAlign w:val="center"/>
            <w:hideMark/>
          </w:tcPr>
          <w:p w14:paraId="16503F42" w14:textId="77777777" w:rsidR="00824D66" w:rsidRPr="0005229F" w:rsidRDefault="00824D66">
            <w:pPr>
              <w:rPr>
                <w:rFonts w:ascii="Arial" w:hAnsi="Arial" w:cs="Arial"/>
                <w:sz w:val="22"/>
                <w:szCs w:val="22"/>
              </w:rPr>
            </w:pPr>
            <w:r w:rsidRPr="0005229F">
              <w:rPr>
                <w:rFonts w:ascii="Arial" w:hAnsi="Arial" w:cs="Arial"/>
                <w:sz w:val="22"/>
                <w:szCs w:val="22"/>
              </w:rPr>
              <w:t>od 1. 1. 1960 do 10. 7. 1960</w:t>
            </w:r>
          </w:p>
        </w:tc>
      </w:tr>
      <w:tr w:rsidR="00824D66" w:rsidRPr="0005229F" w14:paraId="6A1F141A" w14:textId="77777777" w:rsidTr="0005229F">
        <w:trPr>
          <w:tblCellSpacing w:w="0" w:type="dxa"/>
        </w:trPr>
        <w:tc>
          <w:tcPr>
            <w:tcW w:w="3115" w:type="pct"/>
            <w:tcMar>
              <w:top w:w="15" w:type="dxa"/>
              <w:left w:w="15" w:type="dxa"/>
              <w:bottom w:w="15" w:type="dxa"/>
              <w:right w:w="15" w:type="dxa"/>
            </w:tcMar>
            <w:vAlign w:val="center"/>
            <w:hideMark/>
          </w:tcPr>
          <w:p w14:paraId="109ACD51" w14:textId="77777777" w:rsidR="00824D66" w:rsidRPr="0005229F" w:rsidRDefault="00824D66">
            <w:pPr>
              <w:rPr>
                <w:rFonts w:ascii="Arial" w:hAnsi="Arial" w:cs="Arial"/>
                <w:sz w:val="22"/>
                <w:szCs w:val="22"/>
              </w:rPr>
            </w:pPr>
            <w:r w:rsidRPr="0005229F">
              <w:rPr>
                <w:rFonts w:ascii="Arial" w:hAnsi="Arial" w:cs="Arial"/>
                <w:sz w:val="22"/>
                <w:szCs w:val="22"/>
              </w:rPr>
              <w:t>Sbírka zákonů Československé socialistické republiky (Sb.)</w:t>
            </w:r>
          </w:p>
        </w:tc>
        <w:tc>
          <w:tcPr>
            <w:tcW w:w="1885" w:type="pct"/>
            <w:tcMar>
              <w:top w:w="15" w:type="dxa"/>
              <w:left w:w="15" w:type="dxa"/>
              <w:bottom w:w="15" w:type="dxa"/>
              <w:right w:w="15" w:type="dxa"/>
            </w:tcMar>
            <w:vAlign w:val="center"/>
            <w:hideMark/>
          </w:tcPr>
          <w:p w14:paraId="1DC3584C" w14:textId="77777777" w:rsidR="00824D66" w:rsidRPr="0005229F" w:rsidRDefault="00824D66" w:rsidP="00BA1ED6">
            <w:pPr>
              <w:rPr>
                <w:rFonts w:ascii="Arial" w:hAnsi="Arial" w:cs="Arial"/>
                <w:sz w:val="22"/>
                <w:szCs w:val="22"/>
              </w:rPr>
            </w:pPr>
            <w:r w:rsidRPr="0005229F">
              <w:rPr>
                <w:rFonts w:ascii="Arial" w:hAnsi="Arial" w:cs="Arial"/>
                <w:sz w:val="22"/>
                <w:szCs w:val="22"/>
              </w:rPr>
              <w:t>od 11. 7. 1960 do 31. 12. 196</w:t>
            </w:r>
            <w:r w:rsidR="00BA1ED6">
              <w:rPr>
                <w:rFonts w:ascii="Arial" w:hAnsi="Arial" w:cs="Arial"/>
                <w:sz w:val="22"/>
                <w:szCs w:val="22"/>
              </w:rPr>
              <w:t>8</w:t>
            </w:r>
          </w:p>
        </w:tc>
      </w:tr>
      <w:tr w:rsidR="00824D66" w:rsidRPr="0005229F" w14:paraId="00ACB49F" w14:textId="77777777" w:rsidTr="0005229F">
        <w:trPr>
          <w:tblCellSpacing w:w="0" w:type="dxa"/>
        </w:trPr>
        <w:tc>
          <w:tcPr>
            <w:tcW w:w="3115" w:type="pct"/>
            <w:tcMar>
              <w:top w:w="15" w:type="dxa"/>
              <w:left w:w="15" w:type="dxa"/>
              <w:bottom w:w="15" w:type="dxa"/>
              <w:right w:w="15" w:type="dxa"/>
            </w:tcMar>
            <w:vAlign w:val="center"/>
            <w:hideMark/>
          </w:tcPr>
          <w:p w14:paraId="45532800" w14:textId="77777777" w:rsidR="00824D66" w:rsidRPr="0005229F" w:rsidRDefault="00824D66">
            <w:pPr>
              <w:rPr>
                <w:rFonts w:ascii="Arial" w:hAnsi="Arial" w:cs="Arial"/>
                <w:sz w:val="22"/>
                <w:szCs w:val="22"/>
              </w:rPr>
            </w:pPr>
            <w:r w:rsidRPr="0005229F">
              <w:rPr>
                <w:rFonts w:ascii="Arial" w:hAnsi="Arial" w:cs="Arial"/>
                <w:sz w:val="22"/>
                <w:szCs w:val="22"/>
              </w:rPr>
              <w:t>Úřední list republiky Československé (Ú. l.)</w:t>
            </w:r>
          </w:p>
        </w:tc>
        <w:tc>
          <w:tcPr>
            <w:tcW w:w="1885" w:type="pct"/>
            <w:tcMar>
              <w:top w:w="15" w:type="dxa"/>
              <w:left w:w="15" w:type="dxa"/>
              <w:bottom w:w="15" w:type="dxa"/>
              <w:right w:w="15" w:type="dxa"/>
            </w:tcMar>
            <w:vAlign w:val="center"/>
            <w:hideMark/>
          </w:tcPr>
          <w:p w14:paraId="223259D3" w14:textId="77777777" w:rsidR="00824D66" w:rsidRPr="0005229F" w:rsidRDefault="00824D66">
            <w:pPr>
              <w:rPr>
                <w:rFonts w:ascii="Arial" w:hAnsi="Arial" w:cs="Arial"/>
                <w:sz w:val="22"/>
                <w:szCs w:val="22"/>
              </w:rPr>
            </w:pPr>
            <w:r w:rsidRPr="0005229F">
              <w:rPr>
                <w:rFonts w:ascii="Arial" w:hAnsi="Arial" w:cs="Arial"/>
                <w:sz w:val="22"/>
                <w:szCs w:val="22"/>
              </w:rPr>
              <w:t>od 15. 9. 1945 do 31. 12. 1949</w:t>
            </w:r>
          </w:p>
        </w:tc>
      </w:tr>
      <w:tr w:rsidR="00824D66" w:rsidRPr="0005229F" w14:paraId="59F9B75B" w14:textId="77777777" w:rsidTr="0005229F">
        <w:trPr>
          <w:tblCellSpacing w:w="0" w:type="dxa"/>
        </w:trPr>
        <w:tc>
          <w:tcPr>
            <w:tcW w:w="3115" w:type="pct"/>
            <w:tcMar>
              <w:top w:w="15" w:type="dxa"/>
              <w:left w:w="15" w:type="dxa"/>
              <w:bottom w:w="15" w:type="dxa"/>
              <w:right w:w="15" w:type="dxa"/>
            </w:tcMar>
            <w:vAlign w:val="center"/>
            <w:hideMark/>
          </w:tcPr>
          <w:p w14:paraId="7C99D761" w14:textId="77777777" w:rsidR="00824D66" w:rsidRPr="0005229F" w:rsidRDefault="00824D66">
            <w:pPr>
              <w:rPr>
                <w:rFonts w:ascii="Arial" w:hAnsi="Arial" w:cs="Arial"/>
                <w:sz w:val="22"/>
                <w:szCs w:val="22"/>
              </w:rPr>
            </w:pPr>
            <w:r w:rsidRPr="0005229F">
              <w:rPr>
                <w:rFonts w:ascii="Arial" w:hAnsi="Arial" w:cs="Arial"/>
                <w:sz w:val="22"/>
                <w:szCs w:val="22"/>
              </w:rPr>
              <w:t>Úřední list republiky Československé (Ú. l. I / Ú. l. II)</w:t>
            </w:r>
          </w:p>
        </w:tc>
        <w:tc>
          <w:tcPr>
            <w:tcW w:w="1885" w:type="pct"/>
            <w:tcMar>
              <w:top w:w="15" w:type="dxa"/>
              <w:left w:w="15" w:type="dxa"/>
              <w:bottom w:w="15" w:type="dxa"/>
              <w:right w:w="15" w:type="dxa"/>
            </w:tcMar>
            <w:vAlign w:val="center"/>
            <w:hideMark/>
          </w:tcPr>
          <w:p w14:paraId="34E8971B" w14:textId="77777777" w:rsidR="00824D66" w:rsidRPr="0005229F" w:rsidRDefault="00824D66">
            <w:pPr>
              <w:rPr>
                <w:rFonts w:ascii="Arial" w:hAnsi="Arial" w:cs="Arial"/>
                <w:sz w:val="22"/>
                <w:szCs w:val="22"/>
              </w:rPr>
            </w:pPr>
            <w:r w:rsidRPr="0005229F">
              <w:rPr>
                <w:rFonts w:ascii="Arial" w:hAnsi="Arial" w:cs="Arial"/>
                <w:sz w:val="22"/>
                <w:szCs w:val="22"/>
              </w:rPr>
              <w:t>od 1. 1. 1950 do 31. 12. 1959</w:t>
            </w:r>
          </w:p>
        </w:tc>
      </w:tr>
      <w:tr w:rsidR="00824D66" w:rsidRPr="0005229F" w14:paraId="2E6AD5B3" w14:textId="77777777" w:rsidTr="0005229F">
        <w:trPr>
          <w:tblCellSpacing w:w="0" w:type="dxa"/>
        </w:trPr>
        <w:tc>
          <w:tcPr>
            <w:tcW w:w="3115" w:type="pct"/>
            <w:tcMar>
              <w:top w:w="15" w:type="dxa"/>
              <w:left w:w="15" w:type="dxa"/>
              <w:bottom w:w="15" w:type="dxa"/>
              <w:right w:w="15" w:type="dxa"/>
            </w:tcMar>
            <w:vAlign w:val="center"/>
            <w:hideMark/>
          </w:tcPr>
          <w:p w14:paraId="5BFC0203" w14:textId="77777777" w:rsidR="00824D66" w:rsidRPr="0005229F" w:rsidRDefault="00824D66" w:rsidP="005E7824">
            <w:pPr>
              <w:rPr>
                <w:rFonts w:ascii="Arial" w:hAnsi="Arial" w:cs="Arial"/>
                <w:sz w:val="22"/>
                <w:szCs w:val="22"/>
              </w:rPr>
            </w:pPr>
            <w:r w:rsidRPr="0005229F">
              <w:rPr>
                <w:rFonts w:ascii="Arial" w:hAnsi="Arial" w:cs="Arial"/>
                <w:sz w:val="22"/>
                <w:szCs w:val="22"/>
              </w:rPr>
              <w:t xml:space="preserve">Úřední list Republiky československé (po 6/1960 </w:t>
            </w:r>
            <w:r w:rsidRPr="0005229F">
              <w:rPr>
                <w:rFonts w:ascii="Arial" w:hAnsi="Arial" w:cs="Arial"/>
                <w:sz w:val="22"/>
                <w:szCs w:val="22"/>
              </w:rPr>
              <w:lastRenderedPageBreak/>
              <w:t>Úřední list Československé socialistické republiky) (Ú. l.)</w:t>
            </w:r>
          </w:p>
        </w:tc>
        <w:tc>
          <w:tcPr>
            <w:tcW w:w="1885" w:type="pct"/>
            <w:tcMar>
              <w:top w:w="15" w:type="dxa"/>
              <w:left w:w="15" w:type="dxa"/>
              <w:bottom w:w="15" w:type="dxa"/>
              <w:right w:w="15" w:type="dxa"/>
            </w:tcMar>
            <w:vAlign w:val="center"/>
            <w:hideMark/>
          </w:tcPr>
          <w:p w14:paraId="6DE612C4" w14:textId="77777777" w:rsidR="00824D66" w:rsidRPr="0005229F" w:rsidRDefault="00824D66">
            <w:pPr>
              <w:rPr>
                <w:rFonts w:ascii="Arial" w:hAnsi="Arial" w:cs="Arial"/>
                <w:sz w:val="22"/>
                <w:szCs w:val="22"/>
              </w:rPr>
            </w:pPr>
            <w:r w:rsidRPr="0005229F">
              <w:rPr>
                <w:rFonts w:ascii="Arial" w:hAnsi="Arial" w:cs="Arial"/>
                <w:sz w:val="22"/>
                <w:szCs w:val="22"/>
              </w:rPr>
              <w:lastRenderedPageBreak/>
              <w:t>od 1. 1. 1960 do 31. 12. 1961</w:t>
            </w:r>
          </w:p>
        </w:tc>
      </w:tr>
      <w:tr w:rsidR="00824D66" w:rsidRPr="0005229F" w14:paraId="21EEA54E" w14:textId="77777777" w:rsidTr="0005229F">
        <w:trPr>
          <w:tblCellSpacing w:w="0" w:type="dxa"/>
        </w:trPr>
        <w:tc>
          <w:tcPr>
            <w:tcW w:w="3115" w:type="pct"/>
            <w:tcMar>
              <w:top w:w="15" w:type="dxa"/>
              <w:left w:w="15" w:type="dxa"/>
              <w:bottom w:w="15" w:type="dxa"/>
              <w:right w:w="15" w:type="dxa"/>
            </w:tcMar>
            <w:vAlign w:val="center"/>
            <w:hideMark/>
          </w:tcPr>
          <w:p w14:paraId="53950E77" w14:textId="77777777" w:rsidR="00824D66" w:rsidRPr="0005229F" w:rsidRDefault="00824D66">
            <w:pPr>
              <w:rPr>
                <w:rFonts w:ascii="Arial" w:hAnsi="Arial" w:cs="Arial"/>
                <w:sz w:val="22"/>
                <w:szCs w:val="22"/>
              </w:rPr>
            </w:pPr>
            <w:r w:rsidRPr="0005229F">
              <w:rPr>
                <w:rFonts w:ascii="Arial" w:hAnsi="Arial" w:cs="Arial"/>
                <w:sz w:val="22"/>
                <w:szCs w:val="22"/>
              </w:rPr>
              <w:t>Sbírka zákonů (Sb.)</w:t>
            </w:r>
          </w:p>
        </w:tc>
        <w:tc>
          <w:tcPr>
            <w:tcW w:w="1885" w:type="pct"/>
            <w:tcMar>
              <w:top w:w="15" w:type="dxa"/>
              <w:left w:w="15" w:type="dxa"/>
              <w:bottom w:w="15" w:type="dxa"/>
              <w:right w:w="15" w:type="dxa"/>
            </w:tcMar>
            <w:vAlign w:val="center"/>
            <w:hideMark/>
          </w:tcPr>
          <w:p w14:paraId="1858CE4A" w14:textId="77777777" w:rsidR="00824D66" w:rsidRPr="0005229F" w:rsidRDefault="00824D66">
            <w:pPr>
              <w:rPr>
                <w:rFonts w:ascii="Arial" w:hAnsi="Arial" w:cs="Arial"/>
                <w:sz w:val="22"/>
                <w:szCs w:val="22"/>
              </w:rPr>
            </w:pPr>
            <w:r w:rsidRPr="0005229F">
              <w:rPr>
                <w:rFonts w:ascii="Arial" w:hAnsi="Arial" w:cs="Arial"/>
                <w:sz w:val="22"/>
                <w:szCs w:val="22"/>
              </w:rPr>
              <w:t>od 1. 1. 1969 do 11. 12. 1992</w:t>
            </w:r>
          </w:p>
        </w:tc>
      </w:tr>
      <w:tr w:rsidR="00824D66" w:rsidRPr="0005229F" w14:paraId="429EEAC8" w14:textId="77777777" w:rsidTr="0005229F">
        <w:trPr>
          <w:tblCellSpacing w:w="0" w:type="dxa"/>
        </w:trPr>
        <w:tc>
          <w:tcPr>
            <w:tcW w:w="3115" w:type="pct"/>
            <w:tcMar>
              <w:top w:w="15" w:type="dxa"/>
              <w:left w:w="15" w:type="dxa"/>
              <w:bottom w:w="15" w:type="dxa"/>
              <w:right w:w="15" w:type="dxa"/>
            </w:tcMar>
            <w:vAlign w:val="center"/>
            <w:hideMark/>
          </w:tcPr>
          <w:p w14:paraId="5B48728F" w14:textId="77777777" w:rsidR="00824D66" w:rsidRPr="0005229F" w:rsidRDefault="00824D66">
            <w:pPr>
              <w:rPr>
                <w:rFonts w:ascii="Arial" w:hAnsi="Arial" w:cs="Arial"/>
                <w:sz w:val="22"/>
                <w:szCs w:val="22"/>
              </w:rPr>
            </w:pPr>
            <w:r w:rsidRPr="0005229F">
              <w:rPr>
                <w:rFonts w:ascii="Arial" w:hAnsi="Arial" w:cs="Arial"/>
                <w:sz w:val="22"/>
                <w:szCs w:val="22"/>
              </w:rPr>
              <w:t>Sbírka zákonů České republiky (Sb.)</w:t>
            </w:r>
          </w:p>
        </w:tc>
        <w:tc>
          <w:tcPr>
            <w:tcW w:w="1885" w:type="pct"/>
            <w:tcMar>
              <w:top w:w="15" w:type="dxa"/>
              <w:left w:w="15" w:type="dxa"/>
              <w:bottom w:w="15" w:type="dxa"/>
              <w:right w:w="15" w:type="dxa"/>
            </w:tcMar>
            <w:vAlign w:val="center"/>
            <w:hideMark/>
          </w:tcPr>
          <w:p w14:paraId="055FADE5" w14:textId="77777777" w:rsidR="00824D66" w:rsidRPr="0005229F" w:rsidRDefault="00824D66">
            <w:pPr>
              <w:rPr>
                <w:rFonts w:ascii="Arial" w:hAnsi="Arial" w:cs="Arial"/>
                <w:sz w:val="22"/>
                <w:szCs w:val="22"/>
              </w:rPr>
            </w:pPr>
            <w:r w:rsidRPr="0005229F">
              <w:rPr>
                <w:rFonts w:ascii="Arial" w:hAnsi="Arial" w:cs="Arial"/>
                <w:sz w:val="22"/>
                <w:szCs w:val="22"/>
              </w:rPr>
              <w:t>od 12. 12. 1992 do 31. 12. 1999</w:t>
            </w:r>
          </w:p>
        </w:tc>
      </w:tr>
      <w:tr w:rsidR="00824D66" w:rsidRPr="0005229F" w14:paraId="3990FB6D" w14:textId="77777777" w:rsidTr="0005229F">
        <w:trPr>
          <w:tblCellSpacing w:w="0" w:type="dxa"/>
        </w:trPr>
        <w:tc>
          <w:tcPr>
            <w:tcW w:w="3115" w:type="pct"/>
            <w:tcMar>
              <w:top w:w="15" w:type="dxa"/>
              <w:left w:w="15" w:type="dxa"/>
              <w:bottom w:w="15" w:type="dxa"/>
              <w:right w:w="15" w:type="dxa"/>
            </w:tcMar>
            <w:vAlign w:val="center"/>
            <w:hideMark/>
          </w:tcPr>
          <w:p w14:paraId="65A1C429" w14:textId="77777777" w:rsidR="00824D66" w:rsidRPr="0005229F" w:rsidRDefault="00824D66">
            <w:pPr>
              <w:rPr>
                <w:rFonts w:ascii="Arial" w:hAnsi="Arial" w:cs="Arial"/>
                <w:sz w:val="22"/>
                <w:szCs w:val="22"/>
              </w:rPr>
            </w:pPr>
            <w:r w:rsidRPr="0005229F">
              <w:rPr>
                <w:rFonts w:ascii="Arial" w:hAnsi="Arial" w:cs="Arial"/>
                <w:sz w:val="22"/>
                <w:szCs w:val="22"/>
              </w:rPr>
              <w:t>Sbírka zákonů (Sb.)</w:t>
            </w:r>
          </w:p>
        </w:tc>
        <w:tc>
          <w:tcPr>
            <w:tcW w:w="1885" w:type="pct"/>
            <w:tcMar>
              <w:top w:w="15" w:type="dxa"/>
              <w:left w:w="15" w:type="dxa"/>
              <w:bottom w:w="15" w:type="dxa"/>
              <w:right w:w="15" w:type="dxa"/>
            </w:tcMar>
            <w:vAlign w:val="center"/>
            <w:hideMark/>
          </w:tcPr>
          <w:p w14:paraId="09EF3A01" w14:textId="77777777" w:rsidR="00824D66" w:rsidRPr="0005229F" w:rsidRDefault="00824D66" w:rsidP="00C430C1">
            <w:pPr>
              <w:rPr>
                <w:rFonts w:ascii="Arial" w:hAnsi="Arial" w:cs="Arial"/>
                <w:sz w:val="22"/>
                <w:szCs w:val="22"/>
              </w:rPr>
            </w:pPr>
            <w:r w:rsidRPr="0005229F">
              <w:rPr>
                <w:rFonts w:ascii="Arial" w:hAnsi="Arial" w:cs="Arial"/>
                <w:sz w:val="22"/>
                <w:szCs w:val="22"/>
              </w:rPr>
              <w:t>od 1. 1. 2000 do 31. 12. 201</w:t>
            </w:r>
            <w:r w:rsidR="00C430C1">
              <w:rPr>
                <w:rFonts w:ascii="Arial" w:hAnsi="Arial" w:cs="Arial"/>
                <w:sz w:val="22"/>
                <w:szCs w:val="22"/>
              </w:rPr>
              <w:t>8</w:t>
            </w:r>
          </w:p>
        </w:tc>
      </w:tr>
    </w:tbl>
    <w:p w14:paraId="0A0A4DE2" w14:textId="77777777" w:rsidR="00CC768C" w:rsidRPr="0005229F" w:rsidRDefault="00CC768C" w:rsidP="0001012D">
      <w:pPr>
        <w:suppressAutoHyphens w:val="0"/>
        <w:spacing w:line="276" w:lineRule="auto"/>
        <w:ind w:left="426"/>
        <w:jc w:val="both"/>
        <w:rPr>
          <w:rFonts w:ascii="Arial" w:hAnsi="Arial" w:cs="Arial"/>
          <w:lang w:eastAsia="en-US"/>
        </w:rPr>
      </w:pPr>
    </w:p>
    <w:p w14:paraId="485A7CF1" w14:textId="691EA418" w:rsidR="00C670CE" w:rsidRDefault="00E02A9E" w:rsidP="0001012D">
      <w:pPr>
        <w:suppressAutoHyphens w:val="0"/>
        <w:spacing w:line="276" w:lineRule="auto"/>
        <w:ind w:left="426"/>
        <w:jc w:val="both"/>
        <w:rPr>
          <w:rFonts w:ascii="Arial" w:hAnsi="Arial" w:cs="Arial"/>
          <w:lang w:eastAsia="en-US"/>
        </w:rPr>
      </w:pPr>
      <w:r w:rsidRPr="0005229F">
        <w:rPr>
          <w:rFonts w:ascii="Arial" w:hAnsi="Arial" w:cs="Arial"/>
          <w:lang w:eastAsia="en-US"/>
        </w:rPr>
        <w:t xml:space="preserve">Právním předpisem se rozumí </w:t>
      </w:r>
      <w:r w:rsidR="009467FF">
        <w:rPr>
          <w:rFonts w:ascii="Arial" w:hAnsi="Arial" w:cs="Arial"/>
          <w:lang w:eastAsia="en-US"/>
        </w:rPr>
        <w:t xml:space="preserve">právní </w:t>
      </w:r>
      <w:r w:rsidR="00A707EC" w:rsidRPr="0005229F">
        <w:rPr>
          <w:rFonts w:ascii="Arial" w:hAnsi="Arial" w:cs="Arial"/>
          <w:lang w:eastAsia="en-US"/>
        </w:rPr>
        <w:t>akt</w:t>
      </w:r>
      <w:r w:rsidR="005A459D" w:rsidRPr="0005229F">
        <w:rPr>
          <w:rFonts w:ascii="Arial" w:hAnsi="Arial" w:cs="Arial"/>
          <w:lang w:eastAsia="en-US"/>
        </w:rPr>
        <w:t xml:space="preserve"> označený jako </w:t>
      </w:r>
      <w:r w:rsidRPr="0005229F">
        <w:rPr>
          <w:rFonts w:ascii="Arial" w:hAnsi="Arial" w:cs="Arial"/>
          <w:lang w:eastAsia="en-US"/>
        </w:rPr>
        <w:t xml:space="preserve">ústavní zákon, zákon, zákonné opatření, </w:t>
      </w:r>
      <w:r w:rsidR="005A459D" w:rsidRPr="0005229F">
        <w:rPr>
          <w:rFonts w:ascii="Arial" w:hAnsi="Arial" w:cs="Arial"/>
          <w:lang w:eastAsia="en-US"/>
        </w:rPr>
        <w:t>nařízení vlády, vládní nařízení, nařízení nebo vyhláška</w:t>
      </w:r>
      <w:r w:rsidR="00A707EC" w:rsidRPr="0005229F">
        <w:rPr>
          <w:rFonts w:ascii="Arial" w:hAnsi="Arial" w:cs="Arial"/>
          <w:lang w:eastAsia="en-US"/>
        </w:rPr>
        <w:t>, kter</w:t>
      </w:r>
      <w:r w:rsidR="00D236E4" w:rsidRPr="0005229F">
        <w:rPr>
          <w:rFonts w:ascii="Arial" w:hAnsi="Arial" w:cs="Arial"/>
          <w:lang w:eastAsia="en-US"/>
        </w:rPr>
        <w:t>ý byl</w:t>
      </w:r>
      <w:r w:rsidR="00A707EC" w:rsidRPr="0005229F">
        <w:rPr>
          <w:rFonts w:ascii="Arial" w:hAnsi="Arial" w:cs="Arial"/>
          <w:lang w:eastAsia="en-US"/>
        </w:rPr>
        <w:t xml:space="preserve"> vyhlášen v</w:t>
      </w:r>
      <w:r w:rsidR="002D1566">
        <w:rPr>
          <w:rFonts w:ascii="Arial" w:hAnsi="Arial" w:cs="Arial"/>
          <w:lang w:eastAsia="en-US"/>
        </w:rPr>
        <w:t xml:space="preserve"> těchto publikačních prostředích</w:t>
      </w:r>
      <w:r w:rsidR="005A459D" w:rsidRPr="0005229F">
        <w:rPr>
          <w:rFonts w:ascii="Arial" w:hAnsi="Arial" w:cs="Arial"/>
          <w:lang w:eastAsia="en-US"/>
        </w:rPr>
        <w:t>.</w:t>
      </w:r>
      <w:r w:rsidR="00C16408">
        <w:rPr>
          <w:rFonts w:ascii="Arial" w:hAnsi="Arial" w:cs="Arial"/>
          <w:lang w:eastAsia="en-US"/>
        </w:rPr>
        <w:t xml:space="preserve"> Každý jednotlivý právní předpis je vždy třeba odborně právně historicky posoudit (zanalyzovat) ve všech souvislostech při vědomí obtížně předvídatelných negativních důsledků zrušení stále aplikovatelného právního předpisu. Teprve poté je možné tento právní předpis označit jako obsoletní.</w:t>
      </w:r>
      <w:r w:rsidR="00DB6528">
        <w:rPr>
          <w:rFonts w:ascii="Arial" w:hAnsi="Arial" w:cs="Arial"/>
          <w:lang w:eastAsia="en-US"/>
        </w:rPr>
        <w:t xml:space="preserve"> Dekrety prezidenta republiky vydávané v letech 1940 a 1945, stejně jako právní předpisy tyto dekrety provádějící</w:t>
      </w:r>
      <w:r w:rsidR="00085003">
        <w:rPr>
          <w:rFonts w:ascii="Arial" w:hAnsi="Arial" w:cs="Arial"/>
          <w:lang w:eastAsia="en-US"/>
        </w:rPr>
        <w:t xml:space="preserve"> a novelizující</w:t>
      </w:r>
      <w:r w:rsidR="00DB6528">
        <w:rPr>
          <w:rFonts w:ascii="Arial" w:hAnsi="Arial" w:cs="Arial"/>
          <w:lang w:eastAsia="en-US"/>
        </w:rPr>
        <w:t xml:space="preserve">, nebudou </w:t>
      </w:r>
      <w:r w:rsidR="00E56332">
        <w:rPr>
          <w:rFonts w:ascii="Arial" w:hAnsi="Arial" w:cs="Arial"/>
          <w:lang w:eastAsia="en-US"/>
        </w:rPr>
        <w:t>předmětem Analýzy</w:t>
      </w:r>
      <w:r w:rsidR="00DB6528">
        <w:rPr>
          <w:rFonts w:ascii="Arial" w:hAnsi="Arial" w:cs="Arial"/>
          <w:lang w:eastAsia="en-US"/>
        </w:rPr>
        <w:t>.</w:t>
      </w:r>
    </w:p>
    <w:p w14:paraId="5F9756FA" w14:textId="77777777" w:rsidR="00F13218" w:rsidRDefault="00F13218" w:rsidP="0001012D">
      <w:pPr>
        <w:suppressAutoHyphens w:val="0"/>
        <w:spacing w:line="276" w:lineRule="auto"/>
        <w:ind w:left="426"/>
        <w:jc w:val="both"/>
        <w:rPr>
          <w:rFonts w:ascii="Arial" w:hAnsi="Arial" w:cs="Arial"/>
          <w:lang w:eastAsia="en-US"/>
        </w:rPr>
      </w:pPr>
    </w:p>
    <w:p w14:paraId="416A09DB" w14:textId="2BBE9B31" w:rsidR="00A96963" w:rsidRPr="00D960E5" w:rsidRDefault="00A96963" w:rsidP="00A96963">
      <w:pPr>
        <w:suppressAutoHyphens w:val="0"/>
        <w:spacing w:line="276" w:lineRule="auto"/>
        <w:ind w:left="426"/>
        <w:jc w:val="both"/>
        <w:rPr>
          <w:rFonts w:ascii="Arial" w:hAnsi="Arial" w:cs="Arial"/>
          <w:lang w:eastAsia="en-US"/>
        </w:rPr>
      </w:pPr>
      <w:r>
        <w:rPr>
          <w:rFonts w:ascii="Arial" w:hAnsi="Arial" w:cs="Arial"/>
          <w:lang w:eastAsia="en-US"/>
        </w:rPr>
        <w:t>U každého právního předpisu zařazeného do databáze budou uvedeny dílčí výsledky Analýzy, a to v následující struktuře (d</w:t>
      </w:r>
      <w:r w:rsidRPr="00CE0223">
        <w:rPr>
          <w:rFonts w:ascii="Arial" w:hAnsi="Arial" w:cs="Arial"/>
          <w:lang w:eastAsia="en-US"/>
        </w:rPr>
        <w:t>atabázi právních předpisů bude možné třídit</w:t>
      </w:r>
      <w:r>
        <w:rPr>
          <w:rFonts w:ascii="Arial" w:hAnsi="Arial" w:cs="Arial"/>
          <w:lang w:eastAsia="en-US"/>
        </w:rPr>
        <w:t>/</w:t>
      </w:r>
      <w:r w:rsidRPr="00CE0223">
        <w:rPr>
          <w:rFonts w:ascii="Arial" w:hAnsi="Arial" w:cs="Arial"/>
          <w:lang w:eastAsia="en-US"/>
        </w:rPr>
        <w:t xml:space="preserve">řadit podle každé položky </w:t>
      </w:r>
      <w:r>
        <w:rPr>
          <w:rFonts w:ascii="Arial" w:hAnsi="Arial" w:cs="Arial"/>
          <w:lang w:eastAsia="en-US"/>
        </w:rPr>
        <w:t>níže</w:t>
      </w:r>
      <w:r w:rsidRPr="00CE0223">
        <w:rPr>
          <w:rFonts w:ascii="Arial" w:hAnsi="Arial" w:cs="Arial"/>
          <w:lang w:eastAsia="en-US"/>
        </w:rPr>
        <w:t xml:space="preserve"> uv</w:t>
      </w:r>
      <w:r>
        <w:rPr>
          <w:rFonts w:ascii="Arial" w:hAnsi="Arial" w:cs="Arial"/>
          <w:lang w:eastAsia="en-US"/>
        </w:rPr>
        <w:t>edené struktury):</w:t>
      </w:r>
    </w:p>
    <w:p w14:paraId="286922D8" w14:textId="77777777" w:rsidR="00F13218" w:rsidRDefault="00F13218" w:rsidP="00F03C3A">
      <w:pPr>
        <w:suppressAutoHyphens w:val="0"/>
        <w:spacing w:line="276" w:lineRule="auto"/>
        <w:ind w:left="426"/>
        <w:jc w:val="both"/>
        <w:rPr>
          <w:rFonts w:ascii="Arial" w:hAnsi="Arial" w:cs="Arial"/>
          <w:lang w:eastAsia="en-US"/>
        </w:rPr>
      </w:pPr>
    </w:p>
    <w:p w14:paraId="646A72D6" w14:textId="77777777" w:rsidR="00F13218" w:rsidRDefault="005E3BA1" w:rsidP="00B45A4B">
      <w:pPr>
        <w:pStyle w:val="Odstavecseseznamem"/>
        <w:numPr>
          <w:ilvl w:val="0"/>
          <w:numId w:val="42"/>
        </w:numPr>
        <w:suppressAutoHyphens w:val="0"/>
        <w:spacing w:line="276" w:lineRule="auto"/>
        <w:jc w:val="both"/>
        <w:rPr>
          <w:rFonts w:ascii="Arial" w:hAnsi="Arial" w:cs="Arial"/>
          <w:lang w:eastAsia="en-US"/>
        </w:rPr>
      </w:pPr>
      <w:r>
        <w:rPr>
          <w:rFonts w:ascii="Arial" w:hAnsi="Arial" w:cs="Arial"/>
          <w:lang w:eastAsia="en-US"/>
        </w:rPr>
        <w:t>Název právního předpisu.</w:t>
      </w:r>
    </w:p>
    <w:p w14:paraId="62C468B0" w14:textId="77777777" w:rsidR="00660DBB" w:rsidRDefault="00660DBB" w:rsidP="00B45A4B">
      <w:pPr>
        <w:pStyle w:val="Odstavecseseznamem"/>
        <w:numPr>
          <w:ilvl w:val="0"/>
          <w:numId w:val="42"/>
        </w:numPr>
        <w:suppressAutoHyphens w:val="0"/>
        <w:spacing w:line="276" w:lineRule="auto"/>
        <w:jc w:val="both"/>
        <w:rPr>
          <w:rFonts w:ascii="Arial" w:hAnsi="Arial" w:cs="Arial"/>
          <w:lang w:eastAsia="en-US"/>
        </w:rPr>
      </w:pPr>
      <w:r>
        <w:rPr>
          <w:rFonts w:ascii="Arial" w:hAnsi="Arial" w:cs="Arial"/>
          <w:lang w:eastAsia="en-US"/>
        </w:rPr>
        <w:t>Druh právního předpisu</w:t>
      </w:r>
      <w:r w:rsidRPr="00660DBB">
        <w:rPr>
          <w:rFonts w:ascii="Arial" w:hAnsi="Arial" w:cs="Arial"/>
          <w:lang w:eastAsia="en-US"/>
        </w:rPr>
        <w:t xml:space="preserve"> </w:t>
      </w:r>
      <w:r>
        <w:rPr>
          <w:rFonts w:ascii="Arial" w:hAnsi="Arial" w:cs="Arial"/>
          <w:lang w:eastAsia="en-US"/>
        </w:rPr>
        <w:t>(</w:t>
      </w:r>
      <w:r w:rsidRPr="0005229F">
        <w:rPr>
          <w:rFonts w:ascii="Arial" w:hAnsi="Arial" w:cs="Arial"/>
          <w:lang w:eastAsia="en-US"/>
        </w:rPr>
        <w:t>ústavní zákon, zákon, zákonné opatření, nařízení vlády, vládní nařízení, nařízení nebo vyhláška</w:t>
      </w:r>
      <w:r>
        <w:rPr>
          <w:rFonts w:ascii="Arial" w:hAnsi="Arial" w:cs="Arial"/>
          <w:lang w:eastAsia="en-US"/>
        </w:rPr>
        <w:t>).</w:t>
      </w:r>
    </w:p>
    <w:p w14:paraId="23F105D3" w14:textId="77777777" w:rsidR="00F13218" w:rsidRDefault="005E3BA1" w:rsidP="00B45A4B">
      <w:pPr>
        <w:pStyle w:val="Odstavecseseznamem"/>
        <w:numPr>
          <w:ilvl w:val="0"/>
          <w:numId w:val="42"/>
        </w:numPr>
        <w:suppressAutoHyphens w:val="0"/>
        <w:spacing w:line="276" w:lineRule="auto"/>
        <w:jc w:val="both"/>
        <w:rPr>
          <w:rFonts w:ascii="Arial" w:hAnsi="Arial" w:cs="Arial"/>
          <w:lang w:eastAsia="en-US"/>
        </w:rPr>
      </w:pPr>
      <w:r>
        <w:rPr>
          <w:rFonts w:ascii="Arial" w:hAnsi="Arial" w:cs="Arial"/>
          <w:lang w:eastAsia="en-US"/>
        </w:rPr>
        <w:t xml:space="preserve">Určení, zda je právní předpis platný, výslovně zrušený, </w:t>
      </w:r>
      <w:r w:rsidR="00C8655B">
        <w:rPr>
          <w:rFonts w:ascii="Arial" w:hAnsi="Arial" w:cs="Arial"/>
          <w:lang w:eastAsia="en-US"/>
        </w:rPr>
        <w:t xml:space="preserve">zrušený na základě generální derogační klauzule </w:t>
      </w:r>
      <w:r>
        <w:rPr>
          <w:rFonts w:ascii="Arial" w:hAnsi="Arial" w:cs="Arial"/>
          <w:lang w:eastAsia="en-US"/>
        </w:rPr>
        <w:t>nebo obsoletní.</w:t>
      </w:r>
    </w:p>
    <w:p w14:paraId="707939FB" w14:textId="646AB707" w:rsidR="003C39B9" w:rsidRDefault="00C41DF4" w:rsidP="00B45A4B">
      <w:pPr>
        <w:pStyle w:val="Odstavecseseznamem"/>
        <w:numPr>
          <w:ilvl w:val="0"/>
          <w:numId w:val="42"/>
        </w:numPr>
        <w:suppressAutoHyphens w:val="0"/>
        <w:spacing w:line="276" w:lineRule="auto"/>
        <w:jc w:val="both"/>
        <w:rPr>
          <w:rFonts w:ascii="Arial" w:hAnsi="Arial" w:cs="Arial"/>
          <w:lang w:eastAsia="en-US"/>
        </w:rPr>
      </w:pPr>
      <w:r>
        <w:rPr>
          <w:rFonts w:ascii="Arial" w:hAnsi="Arial" w:cs="Arial"/>
          <w:lang w:eastAsia="en-US"/>
        </w:rPr>
        <w:t>Všechny d</w:t>
      </w:r>
      <w:r w:rsidR="003C39B9">
        <w:rPr>
          <w:rFonts w:ascii="Arial" w:hAnsi="Arial" w:cs="Arial"/>
          <w:lang w:eastAsia="en-US"/>
        </w:rPr>
        <w:t xml:space="preserve">ůvody, pro které je právní předpis shledán </w:t>
      </w:r>
      <w:r w:rsidR="008703DC">
        <w:rPr>
          <w:rFonts w:ascii="Arial" w:hAnsi="Arial" w:cs="Arial"/>
          <w:lang w:eastAsia="en-US"/>
        </w:rPr>
        <w:t xml:space="preserve">platným, </w:t>
      </w:r>
      <w:r w:rsidR="00A653AF">
        <w:rPr>
          <w:rFonts w:ascii="Arial" w:hAnsi="Arial" w:cs="Arial"/>
          <w:lang w:eastAsia="en-US"/>
        </w:rPr>
        <w:t xml:space="preserve">zrušeným, nebo </w:t>
      </w:r>
      <w:r w:rsidR="003C39B9">
        <w:rPr>
          <w:rFonts w:ascii="Arial" w:hAnsi="Arial" w:cs="Arial"/>
          <w:lang w:eastAsia="en-US"/>
        </w:rPr>
        <w:t>obsoletním.</w:t>
      </w:r>
    </w:p>
    <w:p w14:paraId="6CFC7217" w14:textId="3927D311" w:rsidR="003F2B3E" w:rsidRPr="003F2B3E" w:rsidRDefault="003F2B3E" w:rsidP="003F2B3E">
      <w:pPr>
        <w:pStyle w:val="Odstavecseseznamem"/>
        <w:numPr>
          <w:ilvl w:val="0"/>
          <w:numId w:val="42"/>
        </w:numPr>
        <w:suppressAutoHyphens w:val="0"/>
        <w:spacing w:line="276" w:lineRule="auto"/>
        <w:jc w:val="both"/>
        <w:rPr>
          <w:rFonts w:ascii="Arial" w:hAnsi="Arial" w:cs="Arial"/>
          <w:lang w:eastAsia="en-US"/>
        </w:rPr>
      </w:pPr>
      <w:r>
        <w:rPr>
          <w:rFonts w:ascii="Arial" w:hAnsi="Arial" w:cs="Arial"/>
          <w:lang w:eastAsia="en-US"/>
        </w:rPr>
        <w:t>Určení vazeb mezi právními předpisy na úrovni zákon – prováděcí právní předpis.</w:t>
      </w:r>
    </w:p>
    <w:p w14:paraId="75B23336" w14:textId="1B1A85BD" w:rsidR="005E3BA1" w:rsidRPr="003F2B3E" w:rsidRDefault="005E3BA1" w:rsidP="003F2B3E">
      <w:pPr>
        <w:pStyle w:val="Odstavecseseznamem"/>
        <w:numPr>
          <w:ilvl w:val="0"/>
          <w:numId w:val="42"/>
        </w:numPr>
        <w:suppressAutoHyphens w:val="0"/>
        <w:spacing w:after="200" w:line="276" w:lineRule="auto"/>
        <w:jc w:val="both"/>
        <w:rPr>
          <w:rFonts w:ascii="Arial" w:eastAsia="Calibri" w:hAnsi="Arial" w:cs="Arial"/>
          <w:u w:val="single"/>
          <w:lang w:eastAsia="en-US"/>
        </w:rPr>
      </w:pPr>
      <w:r>
        <w:rPr>
          <w:rFonts w:ascii="Arial" w:hAnsi="Arial" w:cs="Arial"/>
          <w:lang w:eastAsia="en-US"/>
        </w:rPr>
        <w:t xml:space="preserve">Označení ústředního správní </w:t>
      </w:r>
      <w:r w:rsidRPr="00AA3629">
        <w:rPr>
          <w:rFonts w:ascii="Arial" w:hAnsi="Arial" w:cs="Arial"/>
          <w:lang w:eastAsia="en-US"/>
        </w:rPr>
        <w:t>úřadu</w:t>
      </w:r>
      <w:r w:rsidR="00AA3629">
        <w:rPr>
          <w:rFonts w:ascii="Arial" w:hAnsi="Arial" w:cs="Arial"/>
          <w:lang w:eastAsia="en-US"/>
        </w:rPr>
        <w:t>,</w:t>
      </w:r>
      <w:r w:rsidRPr="00AA3629">
        <w:rPr>
          <w:rFonts w:ascii="Arial" w:hAnsi="Arial" w:cs="Arial"/>
          <w:lang w:eastAsia="en-US"/>
        </w:rPr>
        <w:t xml:space="preserve"> </w:t>
      </w:r>
      <w:r w:rsidR="000E089C" w:rsidRPr="00085003">
        <w:rPr>
          <w:rFonts w:ascii="Arial" w:eastAsia="Calibri" w:hAnsi="Arial" w:cs="Arial"/>
          <w:lang w:eastAsia="en-US"/>
        </w:rPr>
        <w:t>který má právní předpis v</w:t>
      </w:r>
      <w:r w:rsidR="00AA3629">
        <w:rPr>
          <w:rFonts w:ascii="Arial" w:eastAsia="Calibri" w:hAnsi="Arial" w:cs="Arial"/>
          <w:lang w:eastAsia="en-US"/>
        </w:rPr>
        <w:t> </w:t>
      </w:r>
      <w:r w:rsidR="000E089C" w:rsidRPr="00085003">
        <w:rPr>
          <w:rFonts w:ascii="Arial" w:eastAsia="Calibri" w:hAnsi="Arial" w:cs="Arial"/>
          <w:lang w:eastAsia="en-US"/>
        </w:rPr>
        <w:t>gesci</w:t>
      </w:r>
      <w:r w:rsidR="00AA3629">
        <w:rPr>
          <w:rFonts w:ascii="Arial" w:eastAsia="Calibri" w:hAnsi="Arial" w:cs="Arial"/>
          <w:lang w:eastAsia="en-US"/>
        </w:rPr>
        <w:t xml:space="preserve"> ke dni zpracování analýzy, a to dle zákona č. 2/1969 Sb., o zřízení ministerstev a jiných </w:t>
      </w:r>
      <w:r w:rsidR="00AA3629" w:rsidRPr="0061098D">
        <w:rPr>
          <w:rFonts w:ascii="Arial" w:eastAsia="Calibri" w:hAnsi="Arial" w:cs="Arial"/>
          <w:lang w:eastAsia="en-US"/>
        </w:rPr>
        <w:t>ústředních orgánů státní správy České republiky</w:t>
      </w:r>
      <w:r w:rsidR="00AA3629">
        <w:rPr>
          <w:rFonts w:ascii="Arial" w:eastAsia="Calibri" w:hAnsi="Arial" w:cs="Arial"/>
          <w:lang w:eastAsia="en-US"/>
        </w:rPr>
        <w:t>, ve znění pozdějších předpisů</w:t>
      </w:r>
      <w:r w:rsidR="000E089C" w:rsidRPr="00085003">
        <w:rPr>
          <w:rFonts w:ascii="Arial" w:eastAsia="Calibri" w:hAnsi="Arial" w:cs="Arial"/>
          <w:lang w:eastAsia="en-US"/>
        </w:rPr>
        <w:t>.</w:t>
      </w:r>
      <w:r w:rsidR="003F2B3E" w:rsidRPr="003F2B3E">
        <w:rPr>
          <w:rFonts w:ascii="Arial" w:eastAsia="Calibri" w:hAnsi="Arial" w:cs="Arial"/>
          <w:lang w:eastAsia="en-US"/>
        </w:rPr>
        <w:t xml:space="preserve"> </w:t>
      </w:r>
      <w:r w:rsidR="003F2B3E">
        <w:rPr>
          <w:rFonts w:ascii="Arial" w:eastAsia="Calibri" w:hAnsi="Arial" w:cs="Arial"/>
          <w:lang w:eastAsia="en-US"/>
        </w:rPr>
        <w:t>V případě, že je gesce sporná, pak rovněž uvedení více ústředních správních úřadů s uvedením důvodu opřeného o ustanovení konkrétního právního aktu, z</w:t>
      </w:r>
      <w:r w:rsidR="00B61E3D">
        <w:rPr>
          <w:rFonts w:ascii="Arial" w:eastAsia="Calibri" w:hAnsi="Arial" w:cs="Arial"/>
          <w:lang w:eastAsia="en-US"/>
        </w:rPr>
        <w:t>e</w:t>
      </w:r>
      <w:r w:rsidR="003F2B3E">
        <w:rPr>
          <w:rFonts w:ascii="Arial" w:eastAsia="Calibri" w:hAnsi="Arial" w:cs="Arial"/>
          <w:lang w:eastAsia="en-US"/>
        </w:rPr>
        <w:t> </w:t>
      </w:r>
      <w:r w:rsidR="00B61E3D">
        <w:rPr>
          <w:rFonts w:ascii="Arial" w:eastAsia="Calibri" w:hAnsi="Arial" w:cs="Arial"/>
          <w:lang w:eastAsia="en-US"/>
        </w:rPr>
        <w:t>kterého</w:t>
      </w:r>
      <w:r w:rsidR="003F2B3E">
        <w:rPr>
          <w:rFonts w:ascii="Arial" w:eastAsia="Calibri" w:hAnsi="Arial" w:cs="Arial"/>
          <w:lang w:eastAsia="en-US"/>
        </w:rPr>
        <w:t xml:space="preserve"> je dovozována jejich gesční příslušnost.</w:t>
      </w:r>
    </w:p>
    <w:p w14:paraId="536EEB39" w14:textId="5973B43F" w:rsidR="004928A3" w:rsidRPr="0099320D" w:rsidRDefault="004928A3" w:rsidP="00085003">
      <w:pPr>
        <w:pStyle w:val="Odstavecseseznamem"/>
        <w:numPr>
          <w:ilvl w:val="0"/>
          <w:numId w:val="42"/>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 xml:space="preserve">Určení okruhu adresátů právní normy a způsobu úpravy jejich postavení v konkrétním právním předpisu (u jednoho právního předpisu může být uvedeno více položek), to </w:t>
      </w:r>
      <w:r w:rsidR="00CA79B8" w:rsidRPr="0099320D">
        <w:rPr>
          <w:rFonts w:ascii="Arial" w:eastAsia="Calibri" w:hAnsi="Arial" w:cs="Arial"/>
          <w:lang w:eastAsia="en-US"/>
        </w:rPr>
        <w:t>za použití následujících charakteristik</w:t>
      </w:r>
      <w:r w:rsidR="006900AD" w:rsidRPr="0099320D">
        <w:rPr>
          <w:rFonts w:ascii="Arial" w:eastAsia="Calibri" w:hAnsi="Arial" w:cs="Arial"/>
          <w:lang w:eastAsia="en-US"/>
        </w:rPr>
        <w:t>:</w:t>
      </w:r>
    </w:p>
    <w:p w14:paraId="44F142E7" w14:textId="2F1E6C86" w:rsidR="004928A3" w:rsidRPr="0099320D" w:rsidRDefault="004928A3" w:rsidP="004928A3">
      <w:pPr>
        <w:pStyle w:val="Odstavecseseznamem"/>
        <w:numPr>
          <w:ilvl w:val="0"/>
          <w:numId w:val="47"/>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upravuje vnik a organizaci orgánu veřejné správy</w:t>
      </w:r>
      <w:r w:rsidR="006900AD" w:rsidRPr="0099320D">
        <w:rPr>
          <w:rFonts w:ascii="Arial" w:eastAsia="Calibri" w:hAnsi="Arial" w:cs="Arial"/>
          <w:lang w:eastAsia="en-US"/>
        </w:rPr>
        <w:t>,</w:t>
      </w:r>
    </w:p>
    <w:p w14:paraId="4D63F845" w14:textId="4C047C3B" w:rsidR="004928A3" w:rsidRPr="0099320D" w:rsidRDefault="004928A3" w:rsidP="004928A3">
      <w:pPr>
        <w:pStyle w:val="Odstavecseseznamem"/>
        <w:numPr>
          <w:ilvl w:val="0"/>
          <w:numId w:val="47"/>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 xml:space="preserve">stanoví kompetence </w:t>
      </w:r>
      <w:r w:rsidR="006900AD" w:rsidRPr="0099320D">
        <w:rPr>
          <w:rFonts w:ascii="Arial" w:eastAsia="Calibri" w:hAnsi="Arial" w:cs="Arial"/>
          <w:lang w:eastAsia="en-US"/>
        </w:rPr>
        <w:t>orgánů</w:t>
      </w:r>
      <w:r w:rsidRPr="0099320D">
        <w:rPr>
          <w:rFonts w:ascii="Arial" w:eastAsia="Calibri" w:hAnsi="Arial" w:cs="Arial"/>
          <w:lang w:eastAsia="en-US"/>
        </w:rPr>
        <w:t xml:space="preserve"> státní správy</w:t>
      </w:r>
      <w:r w:rsidR="006900AD" w:rsidRPr="0099320D">
        <w:rPr>
          <w:rFonts w:ascii="Arial" w:eastAsia="Calibri" w:hAnsi="Arial" w:cs="Arial"/>
          <w:lang w:eastAsia="en-US"/>
        </w:rPr>
        <w:t>,</w:t>
      </w:r>
    </w:p>
    <w:p w14:paraId="3A5958E2" w14:textId="45B2C069" w:rsidR="004928A3" w:rsidRPr="0099320D" w:rsidRDefault="004928A3" w:rsidP="004928A3">
      <w:pPr>
        <w:pStyle w:val="Odstavecseseznamem"/>
        <w:numPr>
          <w:ilvl w:val="0"/>
          <w:numId w:val="47"/>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 xml:space="preserve">ukládá povinnosti </w:t>
      </w:r>
      <w:r w:rsidR="006900AD" w:rsidRPr="0099320D">
        <w:rPr>
          <w:rFonts w:ascii="Arial" w:eastAsia="Calibri" w:hAnsi="Arial" w:cs="Arial"/>
          <w:lang w:eastAsia="en-US"/>
        </w:rPr>
        <w:t>orgánů</w:t>
      </w:r>
      <w:r w:rsidR="00A967DF" w:rsidRPr="0099320D">
        <w:rPr>
          <w:rFonts w:ascii="Arial" w:eastAsia="Calibri" w:hAnsi="Arial" w:cs="Arial"/>
          <w:lang w:eastAsia="en-US"/>
        </w:rPr>
        <w:t>m</w:t>
      </w:r>
      <w:r w:rsidRPr="0099320D">
        <w:rPr>
          <w:rFonts w:ascii="Arial" w:eastAsia="Calibri" w:hAnsi="Arial" w:cs="Arial"/>
          <w:lang w:eastAsia="en-US"/>
        </w:rPr>
        <w:t xml:space="preserve"> státní správy</w:t>
      </w:r>
      <w:r w:rsidR="006900AD" w:rsidRPr="0099320D">
        <w:rPr>
          <w:rFonts w:ascii="Arial" w:eastAsia="Calibri" w:hAnsi="Arial" w:cs="Arial"/>
          <w:lang w:eastAsia="en-US"/>
        </w:rPr>
        <w:t>,</w:t>
      </w:r>
    </w:p>
    <w:p w14:paraId="3A892E42" w14:textId="6B519F5F" w:rsidR="004928A3" w:rsidRPr="0099320D" w:rsidRDefault="004928A3" w:rsidP="004928A3">
      <w:pPr>
        <w:pStyle w:val="Odstavecseseznamem"/>
        <w:numPr>
          <w:ilvl w:val="0"/>
          <w:numId w:val="47"/>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stanoví kompetence orgánů územní samosprávy</w:t>
      </w:r>
      <w:r w:rsidR="006900AD" w:rsidRPr="0099320D">
        <w:rPr>
          <w:rFonts w:ascii="Arial" w:eastAsia="Calibri" w:hAnsi="Arial" w:cs="Arial"/>
          <w:lang w:eastAsia="en-US"/>
        </w:rPr>
        <w:t>,</w:t>
      </w:r>
    </w:p>
    <w:p w14:paraId="63EF0A79" w14:textId="7F89455D" w:rsidR="004928A3" w:rsidRPr="0099320D" w:rsidRDefault="004928A3" w:rsidP="004928A3">
      <w:pPr>
        <w:pStyle w:val="Odstavecseseznamem"/>
        <w:numPr>
          <w:ilvl w:val="0"/>
          <w:numId w:val="47"/>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lastRenderedPageBreak/>
        <w:t xml:space="preserve">ukládá povinnosti </w:t>
      </w:r>
      <w:r w:rsidR="006900AD" w:rsidRPr="0099320D">
        <w:rPr>
          <w:rFonts w:ascii="Arial" w:eastAsia="Calibri" w:hAnsi="Arial" w:cs="Arial"/>
          <w:lang w:eastAsia="en-US"/>
        </w:rPr>
        <w:t>orgánů</w:t>
      </w:r>
      <w:r w:rsidR="00A967DF" w:rsidRPr="0099320D">
        <w:rPr>
          <w:rFonts w:ascii="Arial" w:eastAsia="Calibri" w:hAnsi="Arial" w:cs="Arial"/>
          <w:lang w:eastAsia="en-US"/>
        </w:rPr>
        <w:t>m</w:t>
      </w:r>
      <w:r w:rsidRPr="0099320D">
        <w:rPr>
          <w:rFonts w:ascii="Arial" w:eastAsia="Calibri" w:hAnsi="Arial" w:cs="Arial"/>
          <w:lang w:eastAsia="en-US"/>
        </w:rPr>
        <w:t xml:space="preserve"> územní samosprávy</w:t>
      </w:r>
      <w:r w:rsidR="006900AD" w:rsidRPr="0099320D">
        <w:rPr>
          <w:rFonts w:ascii="Arial" w:eastAsia="Calibri" w:hAnsi="Arial" w:cs="Arial"/>
          <w:lang w:eastAsia="en-US"/>
        </w:rPr>
        <w:t>,</w:t>
      </w:r>
    </w:p>
    <w:p w14:paraId="7693785C" w14:textId="755808C8" w:rsidR="004928A3" w:rsidRPr="0099320D" w:rsidRDefault="004928A3" w:rsidP="004928A3">
      <w:pPr>
        <w:pStyle w:val="Odstavecseseznamem"/>
        <w:numPr>
          <w:ilvl w:val="0"/>
          <w:numId w:val="47"/>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stanoví práva právnick</w:t>
      </w:r>
      <w:r w:rsidR="006900AD" w:rsidRPr="0099320D">
        <w:rPr>
          <w:rFonts w:ascii="Arial" w:eastAsia="Calibri" w:hAnsi="Arial" w:cs="Arial"/>
          <w:lang w:eastAsia="en-US"/>
        </w:rPr>
        <w:t>ých</w:t>
      </w:r>
      <w:r w:rsidRPr="0099320D">
        <w:rPr>
          <w:rFonts w:ascii="Arial" w:eastAsia="Calibri" w:hAnsi="Arial" w:cs="Arial"/>
          <w:lang w:eastAsia="en-US"/>
        </w:rPr>
        <w:t xml:space="preserve"> osob</w:t>
      </w:r>
      <w:r w:rsidR="006900AD" w:rsidRPr="0099320D">
        <w:rPr>
          <w:rFonts w:ascii="Arial" w:eastAsia="Calibri" w:hAnsi="Arial" w:cs="Arial"/>
          <w:lang w:eastAsia="en-US"/>
        </w:rPr>
        <w:t>,</w:t>
      </w:r>
    </w:p>
    <w:p w14:paraId="53C2B411" w14:textId="71B1EF65" w:rsidR="004928A3" w:rsidRPr="0099320D" w:rsidRDefault="006900AD" w:rsidP="004928A3">
      <w:pPr>
        <w:pStyle w:val="Odstavecseseznamem"/>
        <w:numPr>
          <w:ilvl w:val="0"/>
          <w:numId w:val="47"/>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ukládá</w:t>
      </w:r>
      <w:r w:rsidR="004928A3" w:rsidRPr="0099320D">
        <w:rPr>
          <w:rFonts w:ascii="Arial" w:eastAsia="Calibri" w:hAnsi="Arial" w:cs="Arial"/>
          <w:lang w:eastAsia="en-US"/>
        </w:rPr>
        <w:t xml:space="preserve"> po</w:t>
      </w:r>
      <w:r w:rsidRPr="0099320D">
        <w:rPr>
          <w:rFonts w:ascii="Arial" w:eastAsia="Calibri" w:hAnsi="Arial" w:cs="Arial"/>
          <w:lang w:eastAsia="en-US"/>
        </w:rPr>
        <w:t>vinnosti právnický</w:t>
      </w:r>
      <w:r w:rsidR="00A967DF" w:rsidRPr="0099320D">
        <w:rPr>
          <w:rFonts w:ascii="Arial" w:eastAsia="Calibri" w:hAnsi="Arial" w:cs="Arial"/>
          <w:lang w:eastAsia="en-US"/>
        </w:rPr>
        <w:t>m</w:t>
      </w:r>
      <w:r w:rsidRPr="0099320D">
        <w:rPr>
          <w:rFonts w:ascii="Arial" w:eastAsia="Calibri" w:hAnsi="Arial" w:cs="Arial"/>
          <w:lang w:eastAsia="en-US"/>
        </w:rPr>
        <w:t xml:space="preserve"> o</w:t>
      </w:r>
      <w:r w:rsidR="004928A3" w:rsidRPr="0099320D">
        <w:rPr>
          <w:rFonts w:ascii="Arial" w:eastAsia="Calibri" w:hAnsi="Arial" w:cs="Arial"/>
          <w:lang w:eastAsia="en-US"/>
        </w:rPr>
        <w:t>sob</w:t>
      </w:r>
      <w:r w:rsidR="00A967DF" w:rsidRPr="0099320D">
        <w:rPr>
          <w:rFonts w:ascii="Arial" w:eastAsia="Calibri" w:hAnsi="Arial" w:cs="Arial"/>
          <w:lang w:eastAsia="en-US"/>
        </w:rPr>
        <w:t>ám</w:t>
      </w:r>
      <w:r w:rsidRPr="0099320D">
        <w:rPr>
          <w:rFonts w:ascii="Arial" w:eastAsia="Calibri" w:hAnsi="Arial" w:cs="Arial"/>
          <w:lang w:eastAsia="en-US"/>
        </w:rPr>
        <w:t>,</w:t>
      </w:r>
    </w:p>
    <w:p w14:paraId="2644C0AD" w14:textId="5868715D" w:rsidR="004928A3" w:rsidRPr="0099320D" w:rsidRDefault="006900AD" w:rsidP="004928A3">
      <w:pPr>
        <w:pStyle w:val="Odstavecseseznamem"/>
        <w:numPr>
          <w:ilvl w:val="0"/>
          <w:numId w:val="47"/>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stanoví práva fyzických osob,</w:t>
      </w:r>
    </w:p>
    <w:p w14:paraId="08CE2360" w14:textId="7E4F1C7A" w:rsidR="006900AD" w:rsidRPr="0099320D" w:rsidRDefault="006900AD" w:rsidP="004928A3">
      <w:pPr>
        <w:pStyle w:val="Odstavecseseznamem"/>
        <w:numPr>
          <w:ilvl w:val="0"/>
          <w:numId w:val="47"/>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ukládá povinnosti fyzický</w:t>
      </w:r>
      <w:r w:rsidR="00A967DF" w:rsidRPr="0099320D">
        <w:rPr>
          <w:rFonts w:ascii="Arial" w:eastAsia="Calibri" w:hAnsi="Arial" w:cs="Arial"/>
          <w:lang w:eastAsia="en-US"/>
        </w:rPr>
        <w:t>m</w:t>
      </w:r>
      <w:r w:rsidRPr="0099320D">
        <w:rPr>
          <w:rFonts w:ascii="Arial" w:eastAsia="Calibri" w:hAnsi="Arial" w:cs="Arial"/>
          <w:lang w:eastAsia="en-US"/>
        </w:rPr>
        <w:t xml:space="preserve"> osob</w:t>
      </w:r>
      <w:r w:rsidR="00A967DF" w:rsidRPr="0099320D">
        <w:rPr>
          <w:rFonts w:ascii="Arial" w:eastAsia="Calibri" w:hAnsi="Arial" w:cs="Arial"/>
          <w:lang w:eastAsia="en-US"/>
        </w:rPr>
        <w:t>ám</w:t>
      </w:r>
      <w:r w:rsidRPr="0099320D">
        <w:rPr>
          <w:rFonts w:ascii="Arial" w:eastAsia="Calibri" w:hAnsi="Arial" w:cs="Arial"/>
          <w:lang w:eastAsia="en-US"/>
        </w:rPr>
        <w:t>.</w:t>
      </w:r>
    </w:p>
    <w:p w14:paraId="5C40171C" w14:textId="7D324F60" w:rsidR="004928A3" w:rsidRPr="0099320D" w:rsidRDefault="00B5774C" w:rsidP="00085003">
      <w:pPr>
        <w:pStyle w:val="Odstavecseseznamem"/>
        <w:numPr>
          <w:ilvl w:val="0"/>
          <w:numId w:val="42"/>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Určení oblasti práva, kterou právní předpis upravuje, a to za použití následujících ukazatelů (u jednoho právního předpisu může být uvedeno více položek)</w:t>
      </w:r>
    </w:p>
    <w:p w14:paraId="2C81F6D7" w14:textId="011F66B2" w:rsidR="00B5774C" w:rsidRPr="0099320D" w:rsidRDefault="007A6CAC"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Civilní právo procesní/Advokacie, znalci, tlumočníci, notáři,</w:t>
      </w:r>
    </w:p>
    <w:p w14:paraId="3385057F" w14:textId="47F92432" w:rsidR="00B5774C" w:rsidRPr="0099320D" w:rsidRDefault="007A6CAC"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Civilní právo procesní/Exekuce a výkon rozhodnutí,</w:t>
      </w:r>
    </w:p>
    <w:p w14:paraId="1CE750E6" w14:textId="23276AFB" w:rsidR="007A6CAC" w:rsidRPr="0099320D" w:rsidRDefault="007A6CAC"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Civilní právo procesní/Insolvence a konkurz,</w:t>
      </w:r>
    </w:p>
    <w:p w14:paraId="3A3FF3EE" w14:textId="408C1088" w:rsidR="007A6CAC" w:rsidRPr="0099320D" w:rsidRDefault="007A6CAC"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Civilní právo procesní/Občanské právo procesní,</w:t>
      </w:r>
    </w:p>
    <w:p w14:paraId="5863124A" w14:textId="0C76184C" w:rsidR="007A6CAC" w:rsidRPr="0099320D" w:rsidRDefault="007A6CAC"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Civilní právo procesní/Rozhodčí řízení,</w:t>
      </w:r>
    </w:p>
    <w:p w14:paraId="298ED84E" w14:textId="37F19CDF" w:rsidR="007A6CAC" w:rsidRPr="0099320D" w:rsidRDefault="007A6CAC"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Civilní právo procesní/Soudy a soudci,</w:t>
      </w:r>
    </w:p>
    <w:p w14:paraId="4B1BECE1" w14:textId="08CEBCB1" w:rsidR="007A6CAC" w:rsidRPr="0099320D" w:rsidRDefault="007A6CAC"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Evropské právo/Instituce a organizace,</w:t>
      </w:r>
    </w:p>
    <w:p w14:paraId="7E299150" w14:textId="368ED315"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Evropské právo/Primární evropské právo,</w:t>
      </w:r>
    </w:p>
    <w:p w14:paraId="2044A1C1" w14:textId="2B3BFD18"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Evropské právo/Sekundární evropské právo,</w:t>
      </w:r>
    </w:p>
    <w:p w14:paraId="37693977" w14:textId="63C568F3"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právo/Bankovnictví a pojišťovnictví,</w:t>
      </w:r>
    </w:p>
    <w:p w14:paraId="27582DD6" w14:textId="08CFEE21"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právo/Celní právo,</w:t>
      </w:r>
    </w:p>
    <w:p w14:paraId="2BEF1638" w14:textId="572B76E4"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právo/Daně a poplatky,</w:t>
      </w:r>
    </w:p>
    <w:p w14:paraId="397CEF7B" w14:textId="503D91FE"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právo/Daňový řád,</w:t>
      </w:r>
    </w:p>
    <w:p w14:paraId="6516A08D" w14:textId="30E25015"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právo/Finanční kontrola a hospodaření s veřejnými prostředky,</w:t>
      </w:r>
    </w:p>
    <w:p w14:paraId="75271336" w14:textId="40EDC1D8"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právo/Loterie a hry,</w:t>
      </w:r>
    </w:p>
    <w:p w14:paraId="7C325AC6" w14:textId="751BF2F9"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právo/Majetek státu,</w:t>
      </w:r>
    </w:p>
    <w:p w14:paraId="4C4537F6" w14:textId="17F1CE2E"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právo/Měnové právo,</w:t>
      </w:r>
    </w:p>
    <w:p w14:paraId="327F877A" w14:textId="4A56AC00"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právo/Regulace trhu a cen,</w:t>
      </w:r>
    </w:p>
    <w:p w14:paraId="7A115B9B" w14:textId="3C94D9EB"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právo/Účetnictví,</w:t>
      </w:r>
    </w:p>
    <w:p w14:paraId="3578EFCD" w14:textId="546A81E5"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Finanční právo/Veřejné rozpočty,</w:t>
      </w:r>
    </w:p>
    <w:p w14:paraId="15061752" w14:textId="0B4B2EF1"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ekonomika/Doprava a komunikace,</w:t>
      </w:r>
    </w:p>
    <w:p w14:paraId="5E548826" w14:textId="6578C0D8"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ekonomika/Energetika,</w:t>
      </w:r>
    </w:p>
    <w:p w14:paraId="648B1C92" w14:textId="375090B1"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ekonomika/Horní právo,</w:t>
      </w:r>
    </w:p>
    <w:p w14:paraId="28CBA521" w14:textId="05D261E5"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ekonomika/Hospodářská soutěž,</w:t>
      </w:r>
    </w:p>
    <w:p w14:paraId="73023274" w14:textId="54E52AA2"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ekonomika/Mediální právo (tisk, rozhlas, televize, internet),</w:t>
      </w:r>
    </w:p>
    <w:p w14:paraId="76A170C6" w14:textId="06370D4A"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ekonomika/Ochrana spotřebitele,</w:t>
      </w:r>
    </w:p>
    <w:p w14:paraId="64D3F8EA" w14:textId="68E14F6A"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ekonomika/Ochranné známky a průmyslové vlastnictví,</w:t>
      </w:r>
    </w:p>
    <w:p w14:paraId="0BD57F7C" w14:textId="4094483C"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ekonomika/Statistika a výkaznictví,</w:t>
      </w:r>
    </w:p>
    <w:p w14:paraId="13A3EE7B" w14:textId="1BB08922"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ekonomika/Technické normy,</w:t>
      </w:r>
    </w:p>
    <w:p w14:paraId="5E89A4E8" w14:textId="165588A9"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ekonomika/Veřejné zakázky a koncese,</w:t>
      </w:r>
    </w:p>
    <w:p w14:paraId="6A686F78" w14:textId="7E72E7B5"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Hospodářství a ekonomika/Živnostenské právo a podnikání,</w:t>
      </w:r>
    </w:p>
    <w:p w14:paraId="192FFA66" w14:textId="4505745B"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Mezinárodní právo soukromé/Právní pomoc ve styku s cizinou,</w:t>
      </w:r>
    </w:p>
    <w:p w14:paraId="7D4DA28B" w14:textId="4F133AE6"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lastRenderedPageBreak/>
        <w:t>Mezinárodní právo soukromé/Rozhodné právo,</w:t>
      </w:r>
    </w:p>
    <w:p w14:paraId="5B9484EA" w14:textId="66040FFF"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Mezinárodní právo soukromé/Směnečné a šekové právo,</w:t>
      </w:r>
    </w:p>
    <w:p w14:paraId="44E69310" w14:textId="5E6B36D6"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Mezinárodní právo soukromé/Uznávání a výkon cizích rozhodnutí,</w:t>
      </w:r>
    </w:p>
    <w:p w14:paraId="52239951" w14:textId="29F13D18"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Mezinárodní právo veřejné/Mezinárodní organizace a mezinárodní instituce,</w:t>
      </w:r>
    </w:p>
    <w:p w14:paraId="26C184A2" w14:textId="463079CA"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Mezinárodní právo veřejné/Mezinárodní smlouvy prezidentské,</w:t>
      </w:r>
    </w:p>
    <w:p w14:paraId="4CBD1439" w14:textId="7BACE91E"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Mezinárodní právo veřejné/Mezinárodní smlouvy rezortní,</w:t>
      </w:r>
    </w:p>
    <w:p w14:paraId="33781FE8" w14:textId="7A1E3B96"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Mezinárodní právo veřejné/Mezinárodní smlouvy vládní,</w:t>
      </w:r>
    </w:p>
    <w:p w14:paraId="74E0DE01" w14:textId="2DB61AE3"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Občanské právo/Bytové právo,</w:t>
      </w:r>
    </w:p>
    <w:p w14:paraId="3E324A16" w14:textId="6DC2ACDB"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Občanské právo/Dědické právo,</w:t>
      </w:r>
    </w:p>
    <w:p w14:paraId="606E37BB" w14:textId="607ABE89"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Občanské právo/Duševní vlastnictví a autorské právo,</w:t>
      </w:r>
    </w:p>
    <w:p w14:paraId="5FEC8401" w14:textId="440E2D0B"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Občanské právo/Fyzické osoby,</w:t>
      </w:r>
    </w:p>
    <w:p w14:paraId="6EE2C6C6" w14:textId="506D29A9"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Občanské právo/Náhrada újmy a bezdůvodné obohacení,</w:t>
      </w:r>
    </w:p>
    <w:p w14:paraId="06E426D8" w14:textId="4849D8CA"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Občanské právo/Právnické osoby,</w:t>
      </w:r>
    </w:p>
    <w:p w14:paraId="540E8EC1" w14:textId="72FCD2C4"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Občanské právo/Restituce,</w:t>
      </w:r>
    </w:p>
    <w:p w14:paraId="682E9360" w14:textId="24EF00A0"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Občanské právo/Rodinné právo a sociálně-právní ochrana dětí,</w:t>
      </w:r>
    </w:p>
    <w:p w14:paraId="7FF7C4E6" w14:textId="476D1C65"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Občanské právo/Vlastnictví a věcná práva,</w:t>
      </w:r>
    </w:p>
    <w:p w14:paraId="3FE7186C" w14:textId="55DEC629"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Občanské právo/Závazky a smlouvy,</w:t>
      </w:r>
    </w:p>
    <w:p w14:paraId="5E64E90F" w14:textId="58B18387"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Obchodní právo/Cenné papíry,</w:t>
      </w:r>
    </w:p>
    <w:p w14:paraId="2D0FC62F" w14:textId="30A424F1"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Obchodní právo/Obchodní korporace,</w:t>
      </w:r>
    </w:p>
    <w:p w14:paraId="242A0A1E" w14:textId="31A7D3B8"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Obchodní právo/Obchodní závazky,</w:t>
      </w:r>
    </w:p>
    <w:p w14:paraId="0E7212B6" w14:textId="2621FC62"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Obchodní právo/Práva průmyslového vlastnictví a obchodní známka,</w:t>
      </w:r>
    </w:p>
    <w:p w14:paraId="00DC0928" w14:textId="75608BF1"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Pracovní právo/Bezpečnost práce,</w:t>
      </w:r>
    </w:p>
    <w:p w14:paraId="13E5877A" w14:textId="66F2D280"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Pracovní právo/Mzda, plat a náhrady,</w:t>
      </w:r>
    </w:p>
    <w:p w14:paraId="0C825F74" w14:textId="52EBD209"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Pracovní právo/Odbory a kolektivní vyjednávání,</w:t>
      </w:r>
    </w:p>
    <w:p w14:paraId="3BE582CE" w14:textId="18D5304C"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Pracovní právo/Státní služba,</w:t>
      </w:r>
    </w:p>
    <w:p w14:paraId="45AA824A" w14:textId="41944504"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Pracovní právo/Zákoník práce,</w:t>
      </w:r>
    </w:p>
    <w:p w14:paraId="702884E4" w14:textId="1FED17C6"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Sociální zabezpečení/Důchodové pojištění,</w:t>
      </w:r>
    </w:p>
    <w:p w14:paraId="65B5CC16" w14:textId="43D5B50E"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Sociální zabezpečení/Nemocenské pojištění,</w:t>
      </w:r>
    </w:p>
    <w:p w14:paraId="788FC288" w14:textId="4AD82C32"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Sociální zabezpečení/Sociální pojištění,</w:t>
      </w:r>
    </w:p>
    <w:p w14:paraId="6224488A" w14:textId="381CB037"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Sociální zabezpečení/Státní sociální podpora,</w:t>
      </w:r>
    </w:p>
    <w:p w14:paraId="3FA10233" w14:textId="0E6B3E79"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Sociální zabezpečení/Zaměstnanost,</w:t>
      </w:r>
    </w:p>
    <w:p w14:paraId="434872A9" w14:textId="57175ADB"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Sociální zabezpečení/Zdravotní pojištění,</w:t>
      </w:r>
    </w:p>
    <w:p w14:paraId="36056A83" w14:textId="6A2545D7"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právo/Archivnictví,</w:t>
      </w:r>
    </w:p>
    <w:p w14:paraId="32F54629" w14:textId="32C2242B"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právo/Bezpečnost a požární ochrana,</w:t>
      </w:r>
    </w:p>
    <w:p w14:paraId="5CF24157" w14:textId="6C686970"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právo/Bezpečnostní a záchranné sbory,</w:t>
      </w:r>
    </w:p>
    <w:p w14:paraId="7CA1E652" w14:textId="4538D214"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právo/Cizinci a azyl,</w:t>
      </w:r>
    </w:p>
    <w:p w14:paraId="2FE019BD" w14:textId="323EA981"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právo/Evidence obyvatel,</w:t>
      </w:r>
    </w:p>
    <w:p w14:paraId="28F992BB" w14:textId="32BAEC15"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právo/Informace, osobní údaje, utajované skutečnosti,</w:t>
      </w:r>
    </w:p>
    <w:p w14:paraId="47FFAD15" w14:textId="65B53513"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právo/Konfesní právo a církve,</w:t>
      </w:r>
    </w:p>
    <w:p w14:paraId="73C1FB75" w14:textId="1CAC5F66"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právo/Kultura a umění,</w:t>
      </w:r>
    </w:p>
    <w:p w14:paraId="1BD4883A" w14:textId="5C2A9314"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právo/Obce a kraje,</w:t>
      </w:r>
    </w:p>
    <w:p w14:paraId="6859584E" w14:textId="089E1129"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lastRenderedPageBreak/>
        <w:t>Správní právo/Ochrana před návykovými látkami,</w:t>
      </w:r>
    </w:p>
    <w:p w14:paraId="33050080" w14:textId="02415F23"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právo/Památková ochrana,</w:t>
      </w:r>
    </w:p>
    <w:p w14:paraId="20EB7EA2" w14:textId="6A714F39"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právo/Pozemní komunikace,</w:t>
      </w:r>
    </w:p>
    <w:p w14:paraId="17F9373E" w14:textId="21FF2AF6"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právo/Přestupky a správní trestání,</w:t>
      </w:r>
    </w:p>
    <w:p w14:paraId="551FE653" w14:textId="113B8307"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právo/Sdružování a shromažďování,</w:t>
      </w:r>
    </w:p>
    <w:p w14:paraId="331E633C" w14:textId="3F15CAC7"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právo/Správní řízení,</w:t>
      </w:r>
    </w:p>
    <w:p w14:paraId="42110BF6" w14:textId="7B03B645"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právo/Správní soudnictví,</w:t>
      </w:r>
    </w:p>
    <w:p w14:paraId="58747544" w14:textId="78BF0DF8"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právo/Školství a vzdělávání,</w:t>
      </w:r>
    </w:p>
    <w:p w14:paraId="5487D7E8" w14:textId="5ED8D99A"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právo/Věda a výzkum,</w:t>
      </w:r>
    </w:p>
    <w:p w14:paraId="4020C063" w14:textId="51621036"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právo/Všeobecná a vnitřní správa,</w:t>
      </w:r>
    </w:p>
    <w:p w14:paraId="3A14B684" w14:textId="5FB30C8F"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právo/Zbraně a střelivo,</w:t>
      </w:r>
    </w:p>
    <w:p w14:paraId="72F5B8B1" w14:textId="4A79FCC9"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Správní právo/Zdravotnické právo a ochrana zdraví,</w:t>
      </w:r>
    </w:p>
    <w:p w14:paraId="44E3927F" w14:textId="08D97C9C"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Trestní právo/Soudnictví ve věcech mládeže,</w:t>
      </w:r>
    </w:p>
    <w:p w14:paraId="1A8E29F7" w14:textId="098F68D7"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Trestní právo/Státní zastupitelství,</w:t>
      </w:r>
    </w:p>
    <w:p w14:paraId="5DB5B394" w14:textId="55F4CE27"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Trestní právo/Trestní odpovědnost právnických osob,</w:t>
      </w:r>
    </w:p>
    <w:p w14:paraId="2B958204" w14:textId="5D0D8614"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Trestní právo/Trestní právo hmotné,</w:t>
      </w:r>
    </w:p>
    <w:p w14:paraId="6ADDA85F" w14:textId="1F609657"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Trestní právo/Trestní právo procesní,</w:t>
      </w:r>
    </w:p>
    <w:p w14:paraId="57745288" w14:textId="7AE3D715"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Trestní právo/Vězeňství a výkon trestu,</w:t>
      </w:r>
    </w:p>
    <w:p w14:paraId="11BF3D50" w14:textId="1AF7F816"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Ústavní právo/Bezpečnost a armáda,</w:t>
      </w:r>
    </w:p>
    <w:p w14:paraId="35F51E96" w14:textId="0395F21F"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Ústavní právo/Moc soudní a organizace soudů,</w:t>
      </w:r>
    </w:p>
    <w:p w14:paraId="2A763939" w14:textId="43C24D13"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Ústavní právo/Moc výkonná a orgány státní správy,</w:t>
      </w:r>
    </w:p>
    <w:p w14:paraId="1013A394" w14:textId="126689A5"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Ústavní právo/Moc zákonodárná a parlamentní procedury,</w:t>
      </w:r>
    </w:p>
    <w:p w14:paraId="02BB4335" w14:textId="59FC151F"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Ústavní právo/Politické strany,</w:t>
      </w:r>
    </w:p>
    <w:p w14:paraId="36C32FB0" w14:textId="7E2A6CC8"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Ústavní právo/Státní občanství,</w:t>
      </w:r>
    </w:p>
    <w:p w14:paraId="3C9C42A5" w14:textId="66A1E69C"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Ústavní právo/Státní symboly,</w:t>
      </w:r>
    </w:p>
    <w:p w14:paraId="237B623B" w14:textId="049AB61E" w:rsidR="00E20FCE" w:rsidRPr="0099320D" w:rsidRDefault="00E20FCE" w:rsidP="008669FA">
      <w:pPr>
        <w:pStyle w:val="Odstavecseseznamem"/>
        <w:numPr>
          <w:ilvl w:val="0"/>
          <w:numId w:val="48"/>
        </w:numPr>
        <w:suppressAutoHyphens w:val="0"/>
        <w:spacing w:after="200" w:line="276" w:lineRule="auto"/>
        <w:jc w:val="both"/>
        <w:rPr>
          <w:rFonts w:ascii="Arial" w:eastAsia="Calibri" w:hAnsi="Arial" w:cs="Arial"/>
          <w:lang w:eastAsia="en-US"/>
        </w:rPr>
      </w:pPr>
      <w:r w:rsidRPr="0099320D">
        <w:rPr>
          <w:rFonts w:ascii="Arial" w:eastAsia="Calibri" w:hAnsi="Arial" w:cs="Arial"/>
          <w:lang w:eastAsia="en-US"/>
        </w:rPr>
        <w:t>Ústavní právo/Státní území a hranice,</w:t>
      </w:r>
    </w:p>
    <w:p w14:paraId="3E49504D" w14:textId="0601AC72"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Ústavní právo/Územní samospráva,</w:t>
      </w:r>
    </w:p>
    <w:p w14:paraId="09413D7A" w14:textId="65BE0FAE"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Ústavní právo/Volby a referenda,</w:t>
      </w:r>
    </w:p>
    <w:p w14:paraId="476C82BE" w14:textId="53A5C2B6"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Ústavní právo/Základní práva,</w:t>
      </w:r>
    </w:p>
    <w:p w14:paraId="192BACD7" w14:textId="67AE5F00"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právo/Ekologické škody,</w:t>
      </w:r>
    </w:p>
    <w:p w14:paraId="277F6F59" w14:textId="699F77AA"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právo/Katastr nemovitostí,</w:t>
      </w:r>
    </w:p>
    <w:p w14:paraId="25BEAEE5" w14:textId="621EB0DC"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právo/Myslivost a rybářství,</w:t>
      </w:r>
    </w:p>
    <w:p w14:paraId="4E73C8BB" w14:textId="07954D8A"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právo/Odpady,</w:t>
      </w:r>
    </w:p>
    <w:p w14:paraId="05CC669A" w14:textId="423CFBDB"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právo/Ochrana přírody a krajiny,</w:t>
      </w:r>
    </w:p>
    <w:p w14:paraId="3896C98A" w14:textId="2C94F133"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právo/Ovzduší,</w:t>
      </w:r>
    </w:p>
    <w:p w14:paraId="68F5EB72" w14:textId="34E7B02A"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právo/Pohřebnictví,</w:t>
      </w:r>
    </w:p>
    <w:p w14:paraId="375DFC39" w14:textId="692D976E"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právo/Potravinářství a kontrola,</w:t>
      </w:r>
    </w:p>
    <w:p w14:paraId="15174EA0" w14:textId="2AB55D22"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právo/Pozemkové právo,</w:t>
      </w:r>
    </w:p>
    <w:p w14:paraId="0AC2AD8F" w14:textId="62A5B7FC"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právo/Půda a půdní fond,</w:t>
      </w:r>
    </w:p>
    <w:p w14:paraId="0A903875" w14:textId="58BC4363"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právo/Územní plánování a stavební řízení,</w:t>
      </w:r>
    </w:p>
    <w:p w14:paraId="49720348" w14:textId="720D8637"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právo/Veterinární péče,</w:t>
      </w:r>
    </w:p>
    <w:p w14:paraId="0BE2F2EE" w14:textId="74CB8A2B"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lastRenderedPageBreak/>
        <w:t>Životní prostředí a pozemkové právo/Vinohradnictví a vinařství,</w:t>
      </w:r>
    </w:p>
    <w:p w14:paraId="3F8088F6" w14:textId="4950A631" w:rsidR="00E20FCE" w:rsidRPr="0099320D"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právo/Vodní právo,</w:t>
      </w:r>
    </w:p>
    <w:p w14:paraId="36046F62" w14:textId="0DBC242A" w:rsidR="00E20FCE" w:rsidRDefault="00E20FCE" w:rsidP="008669FA">
      <w:pPr>
        <w:pStyle w:val="Odstavecseseznamem"/>
        <w:numPr>
          <w:ilvl w:val="0"/>
          <w:numId w:val="48"/>
        </w:numPr>
        <w:suppressAutoHyphens w:val="0"/>
        <w:spacing w:after="200" w:line="276" w:lineRule="auto"/>
        <w:ind w:left="1701" w:hanging="555"/>
        <w:jc w:val="both"/>
        <w:rPr>
          <w:rFonts w:ascii="Arial" w:eastAsia="Calibri" w:hAnsi="Arial" w:cs="Arial"/>
          <w:lang w:eastAsia="en-US"/>
        </w:rPr>
      </w:pPr>
      <w:r w:rsidRPr="0099320D">
        <w:rPr>
          <w:rFonts w:ascii="Arial" w:eastAsia="Calibri" w:hAnsi="Arial" w:cs="Arial"/>
          <w:lang w:eastAsia="en-US"/>
        </w:rPr>
        <w:t>Životní prostředí a pozemkové právo/Zemědělství a lesnictví.</w:t>
      </w:r>
    </w:p>
    <w:p w14:paraId="70790C1A" w14:textId="1DAF32E0" w:rsidR="008169CF" w:rsidRDefault="008169CF" w:rsidP="00C340D1"/>
    <w:p w14:paraId="2EC30C6E" w14:textId="2D6F21BA" w:rsidR="001E4B12" w:rsidRPr="001038BA" w:rsidRDefault="001E4B12" w:rsidP="001E4B12">
      <w:pPr>
        <w:suppressAutoHyphens w:val="0"/>
        <w:spacing w:after="200" w:line="276" w:lineRule="auto"/>
        <w:jc w:val="both"/>
        <w:rPr>
          <w:rFonts w:ascii="Arial" w:eastAsia="Calibri" w:hAnsi="Arial" w:cs="Arial"/>
          <w:lang w:eastAsia="en-US"/>
        </w:rPr>
      </w:pPr>
      <w:r>
        <w:rPr>
          <w:rFonts w:ascii="Arial" w:eastAsia="Calibri" w:hAnsi="Arial" w:cs="Arial"/>
          <w:lang w:eastAsia="en-US"/>
        </w:rPr>
        <w:t xml:space="preserve">Databáze musí být vnitřně koherentní, </w:t>
      </w:r>
      <w:r w:rsidR="00811A84">
        <w:rPr>
          <w:rFonts w:ascii="Arial" w:eastAsia="Calibri" w:hAnsi="Arial" w:cs="Arial"/>
          <w:lang w:eastAsia="en-US"/>
        </w:rPr>
        <w:t xml:space="preserve">její </w:t>
      </w:r>
      <w:r>
        <w:rPr>
          <w:rFonts w:ascii="Arial" w:eastAsia="Calibri" w:hAnsi="Arial" w:cs="Arial"/>
          <w:lang w:eastAsia="en-US"/>
        </w:rPr>
        <w:t xml:space="preserve">jednotlivé položky musí být vytvořeny v jednotné </w:t>
      </w:r>
      <w:r w:rsidR="00D84A42">
        <w:rPr>
          <w:rFonts w:ascii="Arial" w:eastAsia="Calibri" w:hAnsi="Arial" w:cs="Arial"/>
          <w:lang w:eastAsia="en-US"/>
        </w:rPr>
        <w:t xml:space="preserve">a editovatelné </w:t>
      </w:r>
      <w:r>
        <w:rPr>
          <w:rFonts w:ascii="Arial" w:eastAsia="Calibri" w:hAnsi="Arial" w:cs="Arial"/>
          <w:lang w:eastAsia="en-US"/>
        </w:rPr>
        <w:t xml:space="preserve">struktuře </w:t>
      </w:r>
      <w:r w:rsidR="00811A84">
        <w:rPr>
          <w:rFonts w:ascii="Arial" w:eastAsia="Calibri" w:hAnsi="Arial" w:cs="Arial"/>
          <w:lang w:eastAsia="en-US"/>
        </w:rPr>
        <w:t>tak, aby byla d</w:t>
      </w:r>
      <w:r w:rsidR="0013057E">
        <w:rPr>
          <w:rFonts w:ascii="Arial" w:eastAsia="Calibri" w:hAnsi="Arial" w:cs="Arial"/>
          <w:lang w:eastAsia="en-US"/>
        </w:rPr>
        <w:t>atabáze dále zpracovatelná</w:t>
      </w:r>
      <w:r w:rsidR="00811A84">
        <w:rPr>
          <w:rFonts w:ascii="Arial" w:eastAsia="Calibri" w:hAnsi="Arial" w:cs="Arial"/>
          <w:lang w:eastAsia="en-US"/>
        </w:rPr>
        <w:t xml:space="preserve"> prostředky informační techniky.</w:t>
      </w:r>
    </w:p>
    <w:p w14:paraId="653F83AE" w14:textId="77777777" w:rsidR="001E4B12" w:rsidRDefault="001E4B12" w:rsidP="00C340D1"/>
    <w:sectPr w:rsidR="001E4B1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559BD" w14:textId="77777777" w:rsidR="009A06B1" w:rsidRDefault="009A06B1" w:rsidP="005B3413">
      <w:r>
        <w:separator/>
      </w:r>
    </w:p>
  </w:endnote>
  <w:endnote w:type="continuationSeparator" w:id="0">
    <w:p w14:paraId="468A8C5C" w14:textId="77777777" w:rsidR="009A06B1" w:rsidRDefault="009A06B1" w:rsidP="005B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062430"/>
      <w:docPartObj>
        <w:docPartGallery w:val="Page Numbers (Bottom of Page)"/>
        <w:docPartUnique/>
      </w:docPartObj>
    </w:sdtPr>
    <w:sdtEndPr>
      <w:rPr>
        <w:rFonts w:ascii="Arial" w:hAnsi="Arial" w:cs="Arial"/>
      </w:rPr>
    </w:sdtEndPr>
    <w:sdtContent>
      <w:p w14:paraId="2B575C89" w14:textId="2323E377" w:rsidR="002325FB" w:rsidRPr="0079039E" w:rsidRDefault="002325FB">
        <w:pPr>
          <w:pStyle w:val="Zpat"/>
          <w:jc w:val="center"/>
          <w:rPr>
            <w:rFonts w:ascii="Arial" w:hAnsi="Arial" w:cs="Arial"/>
          </w:rPr>
        </w:pPr>
        <w:r w:rsidRPr="0079039E">
          <w:rPr>
            <w:rFonts w:ascii="Arial" w:hAnsi="Arial" w:cs="Arial"/>
          </w:rPr>
          <w:fldChar w:fldCharType="begin"/>
        </w:r>
        <w:r w:rsidRPr="0079039E">
          <w:rPr>
            <w:rFonts w:ascii="Arial" w:hAnsi="Arial" w:cs="Arial"/>
          </w:rPr>
          <w:instrText>PAGE   \* MERGEFORMAT</w:instrText>
        </w:r>
        <w:r w:rsidRPr="0079039E">
          <w:rPr>
            <w:rFonts w:ascii="Arial" w:hAnsi="Arial" w:cs="Arial"/>
          </w:rPr>
          <w:fldChar w:fldCharType="separate"/>
        </w:r>
        <w:r w:rsidR="00C83D5C">
          <w:rPr>
            <w:rFonts w:ascii="Arial" w:hAnsi="Arial" w:cs="Arial"/>
            <w:noProof/>
          </w:rPr>
          <w:t>1</w:t>
        </w:r>
        <w:r w:rsidRPr="0079039E">
          <w:rPr>
            <w:rFonts w:ascii="Arial" w:hAnsi="Arial" w:cs="Arial"/>
          </w:rPr>
          <w:fldChar w:fldCharType="end"/>
        </w:r>
      </w:p>
    </w:sdtContent>
  </w:sdt>
  <w:p w14:paraId="5185CD16" w14:textId="77777777" w:rsidR="002325FB" w:rsidRDefault="002325F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ED15D" w14:textId="77777777" w:rsidR="009A06B1" w:rsidRDefault="009A06B1" w:rsidP="005B3413">
      <w:r>
        <w:separator/>
      </w:r>
    </w:p>
  </w:footnote>
  <w:footnote w:type="continuationSeparator" w:id="0">
    <w:p w14:paraId="5AC30D16" w14:textId="77777777" w:rsidR="009A06B1" w:rsidRDefault="009A06B1" w:rsidP="005B3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7F007" w14:textId="77777777" w:rsidR="002C51FE" w:rsidRDefault="002C51FE" w:rsidP="002C51FE">
    <w:pPr>
      <w:jc w:val="both"/>
      <w:rPr>
        <w:rFonts w:cs="Arial"/>
      </w:rPr>
    </w:pPr>
    <w:r>
      <w:rPr>
        <w:noProof/>
        <w:lang w:eastAsia="cs-CZ"/>
      </w:rPr>
      <w:drawing>
        <wp:inline distT="0" distB="0" distL="0" distR="0" wp14:anchorId="09C0322F" wp14:editId="2D51EF72">
          <wp:extent cx="2628900" cy="541655"/>
          <wp:effectExtent l="0" t="0" r="0" b="0"/>
          <wp:docPr id="1" name="Obrázek 1" descr="W:\PUBLICITA\VIZUÁLNÍ_IDENTITA\na web\OPZ_CB.jpg"/>
          <wp:cNvGraphicFramePr/>
          <a:graphic xmlns:a="http://schemas.openxmlformats.org/drawingml/2006/main">
            <a:graphicData uri="http://schemas.openxmlformats.org/drawingml/2006/picture">
              <pic:pic xmlns:pic="http://schemas.openxmlformats.org/drawingml/2006/picture">
                <pic:nvPicPr>
                  <pic:cNvPr id="1" name="Obrázek 1" descr="W:\PUBLICITA\VIZUÁLNÍ_IDENTITA\na web\OPZ_CB.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28900" cy="541655"/>
                  </a:xfrm>
                  <a:prstGeom prst="rect">
                    <a:avLst/>
                  </a:prstGeom>
                  <a:noFill/>
                  <a:ln>
                    <a:noFill/>
                  </a:ln>
                </pic:spPr>
              </pic:pic>
            </a:graphicData>
          </a:graphic>
        </wp:inline>
      </w:drawing>
    </w:r>
    <w:r w:rsidRPr="009832DF">
      <w:rPr>
        <w:rFonts w:cs="Arial"/>
      </w:rPr>
      <w:t xml:space="preserve"> </w:t>
    </w:r>
    <w:r>
      <w:rPr>
        <w:rFonts w:cs="Arial"/>
      </w:rPr>
      <w:t xml:space="preserve">                       </w:t>
    </w:r>
  </w:p>
  <w:p w14:paraId="3DFF9B75" w14:textId="77777777" w:rsidR="00997212" w:rsidRDefault="00997212" w:rsidP="00CA6E8F">
    <w:pPr>
      <w:pStyle w:val="Zhlav"/>
    </w:pPr>
  </w:p>
  <w:p w14:paraId="11FBBB3D" w14:textId="77777777" w:rsidR="00997212" w:rsidRPr="00CA6E8F" w:rsidRDefault="00997212" w:rsidP="00CA6E8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19F2"/>
    <w:multiLevelType w:val="hybridMultilevel"/>
    <w:tmpl w:val="3974863A"/>
    <w:lvl w:ilvl="0" w:tplc="B0C2967C">
      <w:start w:val="1"/>
      <w:numFmt w:val="decimal"/>
      <w:lvlText w:val="1.%1"/>
      <w:lvlJc w:val="left"/>
      <w:pPr>
        <w:tabs>
          <w:tab w:val="num" w:pos="454"/>
        </w:tabs>
        <w:ind w:left="454" w:hanging="454"/>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3BF60C3"/>
    <w:multiLevelType w:val="hybridMultilevel"/>
    <w:tmpl w:val="C7E07BB0"/>
    <w:lvl w:ilvl="0" w:tplc="04050001">
      <w:start w:val="1"/>
      <w:numFmt w:val="bullet"/>
      <w:lvlText w:val=""/>
      <w:lvlJc w:val="left"/>
      <w:pPr>
        <w:ind w:left="785"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3FA4C6F"/>
    <w:multiLevelType w:val="hybridMultilevel"/>
    <w:tmpl w:val="A0CAFA3C"/>
    <w:lvl w:ilvl="0" w:tplc="2AEAD6BC">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 w15:restartNumberingAfterBreak="0">
    <w:nsid w:val="06D244CD"/>
    <w:multiLevelType w:val="hybridMultilevel"/>
    <w:tmpl w:val="35EA98F2"/>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0B18511E"/>
    <w:multiLevelType w:val="hybridMultilevel"/>
    <w:tmpl w:val="6BEE1518"/>
    <w:lvl w:ilvl="0" w:tplc="04050009">
      <w:start w:val="1"/>
      <w:numFmt w:val="bullet"/>
      <w:lvlText w:val=""/>
      <w:lvlJc w:val="left"/>
      <w:pPr>
        <w:ind w:left="1636" w:hanging="360"/>
      </w:pPr>
      <w:rPr>
        <w:rFonts w:ascii="Wingdings" w:hAnsi="Wingdings"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5" w15:restartNumberingAfterBreak="0">
    <w:nsid w:val="0CBD6594"/>
    <w:multiLevelType w:val="hybridMultilevel"/>
    <w:tmpl w:val="6E3C7E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EE46746"/>
    <w:multiLevelType w:val="hybridMultilevel"/>
    <w:tmpl w:val="248C5E20"/>
    <w:lvl w:ilvl="0" w:tplc="C3D6845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F5B49C7"/>
    <w:multiLevelType w:val="hybridMultilevel"/>
    <w:tmpl w:val="964425EC"/>
    <w:lvl w:ilvl="0" w:tplc="2A4CF188">
      <w:start w:val="4"/>
      <w:numFmt w:val="decimal"/>
      <w:lvlText w:val="%1)"/>
      <w:lvlJc w:val="left"/>
      <w:pPr>
        <w:ind w:left="786" w:hanging="360"/>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15:restartNumberingAfterBreak="0">
    <w:nsid w:val="1037415F"/>
    <w:multiLevelType w:val="hybridMultilevel"/>
    <w:tmpl w:val="26328F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3F96F24"/>
    <w:multiLevelType w:val="hybridMultilevel"/>
    <w:tmpl w:val="059A47F4"/>
    <w:lvl w:ilvl="0" w:tplc="04050017">
      <w:start w:val="1"/>
      <w:numFmt w:val="lowerLetter"/>
      <w:lvlText w:val="%1)"/>
      <w:lvlJc w:val="left"/>
      <w:pPr>
        <w:ind w:left="720" w:hanging="360"/>
      </w:pPr>
    </w:lvl>
    <w:lvl w:ilvl="1" w:tplc="0D9EE2D6">
      <w:start w:val="8"/>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DC53AE2"/>
    <w:multiLevelType w:val="hybridMultilevel"/>
    <w:tmpl w:val="4E44F02A"/>
    <w:lvl w:ilvl="0" w:tplc="C3FE8706">
      <w:start w:val="1"/>
      <w:numFmt w:val="decimal"/>
      <w:lvlText w:val="%1."/>
      <w:lvlJc w:val="left"/>
      <w:pPr>
        <w:tabs>
          <w:tab w:val="num" w:pos="284"/>
        </w:tabs>
        <w:ind w:left="284" w:hanging="284"/>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DA5254"/>
    <w:multiLevelType w:val="hybridMultilevel"/>
    <w:tmpl w:val="6F82374A"/>
    <w:lvl w:ilvl="0" w:tplc="0405000F">
      <w:start w:val="1"/>
      <w:numFmt w:val="decimal"/>
      <w:lvlText w:val="%1."/>
      <w:lvlJc w:val="left"/>
      <w:pPr>
        <w:ind w:left="1288" w:hanging="360"/>
      </w:pPr>
      <w:rPr>
        <w:rFonts w:hint="default"/>
      </w:rPr>
    </w:lvl>
    <w:lvl w:ilvl="1" w:tplc="04050019" w:tentative="1">
      <w:start w:val="1"/>
      <w:numFmt w:val="lowerLetter"/>
      <w:lvlText w:val="%2."/>
      <w:lvlJc w:val="left"/>
      <w:pPr>
        <w:ind w:left="2008" w:hanging="360"/>
      </w:pPr>
    </w:lvl>
    <w:lvl w:ilvl="2" w:tplc="0405001B" w:tentative="1">
      <w:start w:val="1"/>
      <w:numFmt w:val="lowerRoman"/>
      <w:lvlText w:val="%3."/>
      <w:lvlJc w:val="right"/>
      <w:pPr>
        <w:ind w:left="2728" w:hanging="180"/>
      </w:pPr>
    </w:lvl>
    <w:lvl w:ilvl="3" w:tplc="0405000F" w:tentative="1">
      <w:start w:val="1"/>
      <w:numFmt w:val="decimal"/>
      <w:lvlText w:val="%4."/>
      <w:lvlJc w:val="left"/>
      <w:pPr>
        <w:ind w:left="3448" w:hanging="360"/>
      </w:pPr>
    </w:lvl>
    <w:lvl w:ilvl="4" w:tplc="04050019" w:tentative="1">
      <w:start w:val="1"/>
      <w:numFmt w:val="lowerLetter"/>
      <w:lvlText w:val="%5."/>
      <w:lvlJc w:val="left"/>
      <w:pPr>
        <w:ind w:left="4168" w:hanging="360"/>
      </w:pPr>
    </w:lvl>
    <w:lvl w:ilvl="5" w:tplc="0405001B" w:tentative="1">
      <w:start w:val="1"/>
      <w:numFmt w:val="lowerRoman"/>
      <w:lvlText w:val="%6."/>
      <w:lvlJc w:val="right"/>
      <w:pPr>
        <w:ind w:left="4888" w:hanging="180"/>
      </w:pPr>
    </w:lvl>
    <w:lvl w:ilvl="6" w:tplc="0405000F" w:tentative="1">
      <w:start w:val="1"/>
      <w:numFmt w:val="decimal"/>
      <w:lvlText w:val="%7."/>
      <w:lvlJc w:val="left"/>
      <w:pPr>
        <w:ind w:left="5608" w:hanging="360"/>
      </w:pPr>
    </w:lvl>
    <w:lvl w:ilvl="7" w:tplc="04050019" w:tentative="1">
      <w:start w:val="1"/>
      <w:numFmt w:val="lowerLetter"/>
      <w:lvlText w:val="%8."/>
      <w:lvlJc w:val="left"/>
      <w:pPr>
        <w:ind w:left="6328" w:hanging="360"/>
      </w:pPr>
    </w:lvl>
    <w:lvl w:ilvl="8" w:tplc="0405001B" w:tentative="1">
      <w:start w:val="1"/>
      <w:numFmt w:val="lowerRoman"/>
      <w:lvlText w:val="%9."/>
      <w:lvlJc w:val="right"/>
      <w:pPr>
        <w:ind w:left="7048" w:hanging="180"/>
      </w:pPr>
    </w:lvl>
  </w:abstractNum>
  <w:abstractNum w:abstractNumId="12" w15:restartNumberingAfterBreak="0">
    <w:nsid w:val="27A10A3A"/>
    <w:multiLevelType w:val="hybridMultilevel"/>
    <w:tmpl w:val="B0180D8A"/>
    <w:lvl w:ilvl="0" w:tplc="6D4C85C0">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3" w15:restartNumberingAfterBreak="0">
    <w:nsid w:val="318F0969"/>
    <w:multiLevelType w:val="hybridMultilevel"/>
    <w:tmpl w:val="4776030E"/>
    <w:lvl w:ilvl="0" w:tplc="FF8069B2">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32D432FB"/>
    <w:multiLevelType w:val="hybridMultilevel"/>
    <w:tmpl w:val="040EE832"/>
    <w:lvl w:ilvl="0" w:tplc="A7227774">
      <w:start w:val="1"/>
      <w:numFmt w:val="decimal"/>
      <w:lvlText w:val="2.%1"/>
      <w:lvlJc w:val="left"/>
      <w:pPr>
        <w:tabs>
          <w:tab w:val="num" w:pos="465"/>
        </w:tabs>
        <w:ind w:left="465" w:hanging="454"/>
      </w:pPr>
      <w:rPr>
        <w:rFonts w:cs="Times New Roman" w:hint="default"/>
      </w:rPr>
    </w:lvl>
    <w:lvl w:ilvl="1" w:tplc="04050019" w:tentative="1">
      <w:start w:val="1"/>
      <w:numFmt w:val="lowerLetter"/>
      <w:lvlText w:val="%2."/>
      <w:lvlJc w:val="left"/>
      <w:pPr>
        <w:tabs>
          <w:tab w:val="num" w:pos="1451"/>
        </w:tabs>
        <w:ind w:left="1451" w:hanging="360"/>
      </w:pPr>
      <w:rPr>
        <w:rFonts w:cs="Times New Roman"/>
      </w:rPr>
    </w:lvl>
    <w:lvl w:ilvl="2" w:tplc="0405001B" w:tentative="1">
      <w:start w:val="1"/>
      <w:numFmt w:val="lowerRoman"/>
      <w:lvlText w:val="%3."/>
      <w:lvlJc w:val="right"/>
      <w:pPr>
        <w:tabs>
          <w:tab w:val="num" w:pos="2171"/>
        </w:tabs>
        <w:ind w:left="2171" w:hanging="180"/>
      </w:pPr>
      <w:rPr>
        <w:rFonts w:cs="Times New Roman"/>
      </w:rPr>
    </w:lvl>
    <w:lvl w:ilvl="3" w:tplc="0405000F" w:tentative="1">
      <w:start w:val="1"/>
      <w:numFmt w:val="decimal"/>
      <w:lvlText w:val="%4."/>
      <w:lvlJc w:val="left"/>
      <w:pPr>
        <w:tabs>
          <w:tab w:val="num" w:pos="2891"/>
        </w:tabs>
        <w:ind w:left="2891" w:hanging="360"/>
      </w:pPr>
      <w:rPr>
        <w:rFonts w:cs="Times New Roman"/>
      </w:rPr>
    </w:lvl>
    <w:lvl w:ilvl="4" w:tplc="04050019" w:tentative="1">
      <w:start w:val="1"/>
      <w:numFmt w:val="lowerLetter"/>
      <w:lvlText w:val="%5."/>
      <w:lvlJc w:val="left"/>
      <w:pPr>
        <w:tabs>
          <w:tab w:val="num" w:pos="3611"/>
        </w:tabs>
        <w:ind w:left="3611" w:hanging="360"/>
      </w:pPr>
      <w:rPr>
        <w:rFonts w:cs="Times New Roman"/>
      </w:rPr>
    </w:lvl>
    <w:lvl w:ilvl="5" w:tplc="0405001B" w:tentative="1">
      <w:start w:val="1"/>
      <w:numFmt w:val="lowerRoman"/>
      <w:lvlText w:val="%6."/>
      <w:lvlJc w:val="right"/>
      <w:pPr>
        <w:tabs>
          <w:tab w:val="num" w:pos="4331"/>
        </w:tabs>
        <w:ind w:left="4331" w:hanging="180"/>
      </w:pPr>
      <w:rPr>
        <w:rFonts w:cs="Times New Roman"/>
      </w:rPr>
    </w:lvl>
    <w:lvl w:ilvl="6" w:tplc="0405000F" w:tentative="1">
      <w:start w:val="1"/>
      <w:numFmt w:val="decimal"/>
      <w:lvlText w:val="%7."/>
      <w:lvlJc w:val="left"/>
      <w:pPr>
        <w:tabs>
          <w:tab w:val="num" w:pos="5051"/>
        </w:tabs>
        <w:ind w:left="5051" w:hanging="360"/>
      </w:pPr>
      <w:rPr>
        <w:rFonts w:cs="Times New Roman"/>
      </w:rPr>
    </w:lvl>
    <w:lvl w:ilvl="7" w:tplc="04050019" w:tentative="1">
      <w:start w:val="1"/>
      <w:numFmt w:val="lowerLetter"/>
      <w:lvlText w:val="%8."/>
      <w:lvlJc w:val="left"/>
      <w:pPr>
        <w:tabs>
          <w:tab w:val="num" w:pos="5771"/>
        </w:tabs>
        <w:ind w:left="5771" w:hanging="360"/>
      </w:pPr>
      <w:rPr>
        <w:rFonts w:cs="Times New Roman"/>
      </w:rPr>
    </w:lvl>
    <w:lvl w:ilvl="8" w:tplc="0405001B" w:tentative="1">
      <w:start w:val="1"/>
      <w:numFmt w:val="lowerRoman"/>
      <w:lvlText w:val="%9."/>
      <w:lvlJc w:val="right"/>
      <w:pPr>
        <w:tabs>
          <w:tab w:val="num" w:pos="6491"/>
        </w:tabs>
        <w:ind w:left="6491" w:hanging="180"/>
      </w:pPr>
      <w:rPr>
        <w:rFonts w:cs="Times New Roman"/>
      </w:rPr>
    </w:lvl>
  </w:abstractNum>
  <w:abstractNum w:abstractNumId="15" w15:restartNumberingAfterBreak="0">
    <w:nsid w:val="33B97DAB"/>
    <w:multiLevelType w:val="hybridMultilevel"/>
    <w:tmpl w:val="B8B4792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3C306CD"/>
    <w:multiLevelType w:val="hybridMultilevel"/>
    <w:tmpl w:val="0CFC66EE"/>
    <w:lvl w:ilvl="0" w:tplc="0405000F">
      <w:start w:val="1"/>
      <w:numFmt w:val="decimal"/>
      <w:lvlText w:val="%1."/>
      <w:lvlJc w:val="left"/>
      <w:pPr>
        <w:ind w:left="1506" w:hanging="360"/>
      </w:pPr>
    </w:lvl>
    <w:lvl w:ilvl="1" w:tplc="04050019" w:tentative="1">
      <w:start w:val="1"/>
      <w:numFmt w:val="lowerLetter"/>
      <w:lvlText w:val="%2."/>
      <w:lvlJc w:val="left"/>
      <w:pPr>
        <w:ind w:left="2226" w:hanging="360"/>
      </w:pPr>
    </w:lvl>
    <w:lvl w:ilvl="2" w:tplc="0405001B" w:tentative="1">
      <w:start w:val="1"/>
      <w:numFmt w:val="lowerRoman"/>
      <w:lvlText w:val="%3."/>
      <w:lvlJc w:val="right"/>
      <w:pPr>
        <w:ind w:left="2946" w:hanging="180"/>
      </w:pPr>
    </w:lvl>
    <w:lvl w:ilvl="3" w:tplc="0405000F" w:tentative="1">
      <w:start w:val="1"/>
      <w:numFmt w:val="decimal"/>
      <w:lvlText w:val="%4."/>
      <w:lvlJc w:val="left"/>
      <w:pPr>
        <w:ind w:left="3666" w:hanging="360"/>
      </w:pPr>
    </w:lvl>
    <w:lvl w:ilvl="4" w:tplc="04050019" w:tentative="1">
      <w:start w:val="1"/>
      <w:numFmt w:val="lowerLetter"/>
      <w:lvlText w:val="%5."/>
      <w:lvlJc w:val="left"/>
      <w:pPr>
        <w:ind w:left="4386" w:hanging="360"/>
      </w:pPr>
    </w:lvl>
    <w:lvl w:ilvl="5" w:tplc="0405001B" w:tentative="1">
      <w:start w:val="1"/>
      <w:numFmt w:val="lowerRoman"/>
      <w:lvlText w:val="%6."/>
      <w:lvlJc w:val="right"/>
      <w:pPr>
        <w:ind w:left="5106" w:hanging="180"/>
      </w:pPr>
    </w:lvl>
    <w:lvl w:ilvl="6" w:tplc="0405000F" w:tentative="1">
      <w:start w:val="1"/>
      <w:numFmt w:val="decimal"/>
      <w:lvlText w:val="%7."/>
      <w:lvlJc w:val="left"/>
      <w:pPr>
        <w:ind w:left="5826" w:hanging="360"/>
      </w:pPr>
    </w:lvl>
    <w:lvl w:ilvl="7" w:tplc="04050019" w:tentative="1">
      <w:start w:val="1"/>
      <w:numFmt w:val="lowerLetter"/>
      <w:lvlText w:val="%8."/>
      <w:lvlJc w:val="left"/>
      <w:pPr>
        <w:ind w:left="6546" w:hanging="360"/>
      </w:pPr>
    </w:lvl>
    <w:lvl w:ilvl="8" w:tplc="0405001B" w:tentative="1">
      <w:start w:val="1"/>
      <w:numFmt w:val="lowerRoman"/>
      <w:lvlText w:val="%9."/>
      <w:lvlJc w:val="right"/>
      <w:pPr>
        <w:ind w:left="7266" w:hanging="180"/>
      </w:pPr>
    </w:lvl>
  </w:abstractNum>
  <w:abstractNum w:abstractNumId="17" w15:restartNumberingAfterBreak="0">
    <w:nsid w:val="3466642F"/>
    <w:multiLevelType w:val="hybridMultilevel"/>
    <w:tmpl w:val="96B8AABA"/>
    <w:lvl w:ilvl="0" w:tplc="9DD0A75A">
      <w:start w:val="1"/>
      <w:numFmt w:val="upperRoman"/>
      <w:lvlText w:val="%1."/>
      <w:lvlJc w:val="left"/>
      <w:pPr>
        <w:ind w:left="680" w:hanging="254"/>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8" w15:restartNumberingAfterBreak="0">
    <w:nsid w:val="382641C0"/>
    <w:multiLevelType w:val="hybridMultilevel"/>
    <w:tmpl w:val="3F9EEE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8861ED9"/>
    <w:multiLevelType w:val="hybridMultilevel"/>
    <w:tmpl w:val="89B0A760"/>
    <w:lvl w:ilvl="0" w:tplc="7A883ADA">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2476B02"/>
    <w:multiLevelType w:val="hybridMultilevel"/>
    <w:tmpl w:val="9280C102"/>
    <w:lvl w:ilvl="0" w:tplc="CE36864E">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1" w15:restartNumberingAfterBreak="0">
    <w:nsid w:val="44BE6B61"/>
    <w:multiLevelType w:val="hybridMultilevel"/>
    <w:tmpl w:val="4A2A83B6"/>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2" w15:restartNumberingAfterBreak="0">
    <w:nsid w:val="45B73137"/>
    <w:multiLevelType w:val="hybridMultilevel"/>
    <w:tmpl w:val="A69AEF3E"/>
    <w:lvl w:ilvl="0" w:tplc="AFC8F94A">
      <w:start w:val="1"/>
      <w:numFmt w:val="bullet"/>
      <w:lvlText w:val=""/>
      <w:lvlJc w:val="left"/>
      <w:pPr>
        <w:tabs>
          <w:tab w:val="num" w:pos="284"/>
        </w:tabs>
        <w:ind w:left="284" w:hanging="284"/>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114FC"/>
    <w:multiLevelType w:val="hybridMultilevel"/>
    <w:tmpl w:val="B496649A"/>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4" w15:restartNumberingAfterBreak="0">
    <w:nsid w:val="4AB97000"/>
    <w:multiLevelType w:val="hybridMultilevel"/>
    <w:tmpl w:val="5504EFD0"/>
    <w:lvl w:ilvl="0" w:tplc="72D8328A">
      <w:start w:val="2"/>
      <w:numFmt w:val="bullet"/>
      <w:lvlText w:val="-"/>
      <w:lvlJc w:val="left"/>
      <w:pPr>
        <w:ind w:left="786" w:hanging="360"/>
      </w:pPr>
      <w:rPr>
        <w:rFonts w:ascii="Arial" w:eastAsia="Times New Roman"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5" w15:restartNumberingAfterBreak="0">
    <w:nsid w:val="4E72421E"/>
    <w:multiLevelType w:val="hybridMultilevel"/>
    <w:tmpl w:val="9280C102"/>
    <w:lvl w:ilvl="0" w:tplc="CE36864E">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50965F69"/>
    <w:multiLevelType w:val="hybridMultilevel"/>
    <w:tmpl w:val="0CFC66EE"/>
    <w:lvl w:ilvl="0" w:tplc="0405000F">
      <w:start w:val="1"/>
      <w:numFmt w:val="decimal"/>
      <w:lvlText w:val="%1."/>
      <w:lvlJc w:val="left"/>
      <w:pPr>
        <w:ind w:left="1506" w:hanging="360"/>
      </w:pPr>
    </w:lvl>
    <w:lvl w:ilvl="1" w:tplc="04050019" w:tentative="1">
      <w:start w:val="1"/>
      <w:numFmt w:val="lowerLetter"/>
      <w:lvlText w:val="%2."/>
      <w:lvlJc w:val="left"/>
      <w:pPr>
        <w:ind w:left="2226" w:hanging="360"/>
      </w:pPr>
    </w:lvl>
    <w:lvl w:ilvl="2" w:tplc="0405001B" w:tentative="1">
      <w:start w:val="1"/>
      <w:numFmt w:val="lowerRoman"/>
      <w:lvlText w:val="%3."/>
      <w:lvlJc w:val="right"/>
      <w:pPr>
        <w:ind w:left="2946" w:hanging="180"/>
      </w:pPr>
    </w:lvl>
    <w:lvl w:ilvl="3" w:tplc="0405000F" w:tentative="1">
      <w:start w:val="1"/>
      <w:numFmt w:val="decimal"/>
      <w:lvlText w:val="%4."/>
      <w:lvlJc w:val="left"/>
      <w:pPr>
        <w:ind w:left="3666" w:hanging="360"/>
      </w:pPr>
    </w:lvl>
    <w:lvl w:ilvl="4" w:tplc="04050019" w:tentative="1">
      <w:start w:val="1"/>
      <w:numFmt w:val="lowerLetter"/>
      <w:lvlText w:val="%5."/>
      <w:lvlJc w:val="left"/>
      <w:pPr>
        <w:ind w:left="4386" w:hanging="360"/>
      </w:pPr>
    </w:lvl>
    <w:lvl w:ilvl="5" w:tplc="0405001B" w:tentative="1">
      <w:start w:val="1"/>
      <w:numFmt w:val="lowerRoman"/>
      <w:lvlText w:val="%6."/>
      <w:lvlJc w:val="right"/>
      <w:pPr>
        <w:ind w:left="5106" w:hanging="180"/>
      </w:pPr>
    </w:lvl>
    <w:lvl w:ilvl="6" w:tplc="0405000F" w:tentative="1">
      <w:start w:val="1"/>
      <w:numFmt w:val="decimal"/>
      <w:lvlText w:val="%7."/>
      <w:lvlJc w:val="left"/>
      <w:pPr>
        <w:ind w:left="5826" w:hanging="360"/>
      </w:pPr>
    </w:lvl>
    <w:lvl w:ilvl="7" w:tplc="04050019" w:tentative="1">
      <w:start w:val="1"/>
      <w:numFmt w:val="lowerLetter"/>
      <w:lvlText w:val="%8."/>
      <w:lvlJc w:val="left"/>
      <w:pPr>
        <w:ind w:left="6546" w:hanging="360"/>
      </w:pPr>
    </w:lvl>
    <w:lvl w:ilvl="8" w:tplc="0405001B" w:tentative="1">
      <w:start w:val="1"/>
      <w:numFmt w:val="lowerRoman"/>
      <w:lvlText w:val="%9."/>
      <w:lvlJc w:val="right"/>
      <w:pPr>
        <w:ind w:left="7266" w:hanging="180"/>
      </w:pPr>
    </w:lvl>
  </w:abstractNum>
  <w:abstractNum w:abstractNumId="27" w15:restartNumberingAfterBreak="0">
    <w:nsid w:val="5214176E"/>
    <w:multiLevelType w:val="hybridMultilevel"/>
    <w:tmpl w:val="93DA9CF8"/>
    <w:lvl w:ilvl="0" w:tplc="23DAD4EA">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8" w15:restartNumberingAfterBreak="0">
    <w:nsid w:val="553A54CF"/>
    <w:multiLevelType w:val="hybridMultilevel"/>
    <w:tmpl w:val="9C2A60AE"/>
    <w:lvl w:ilvl="0" w:tplc="6A3ABCBC">
      <w:start w:val="1"/>
      <w:numFmt w:val="decimal"/>
      <w:lvlText w:val="%1."/>
      <w:lvlJc w:val="left"/>
      <w:pPr>
        <w:ind w:left="786" w:hanging="360"/>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9" w15:restartNumberingAfterBreak="0">
    <w:nsid w:val="56095A82"/>
    <w:multiLevelType w:val="hybridMultilevel"/>
    <w:tmpl w:val="719E5292"/>
    <w:lvl w:ilvl="0" w:tplc="36305E2E">
      <w:start w:val="4"/>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61106FA"/>
    <w:multiLevelType w:val="hybridMultilevel"/>
    <w:tmpl w:val="CD1C5618"/>
    <w:lvl w:ilvl="0" w:tplc="91D2B8B0">
      <w:start w:val="1"/>
      <w:numFmt w:val="decimal"/>
      <w:lvlText w:val="%1."/>
      <w:lvlJc w:val="left"/>
      <w:pPr>
        <w:tabs>
          <w:tab w:val="num" w:pos="284"/>
        </w:tabs>
        <w:ind w:left="284" w:hanging="284"/>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99D2885"/>
    <w:multiLevelType w:val="hybridMultilevel"/>
    <w:tmpl w:val="E6365872"/>
    <w:lvl w:ilvl="0" w:tplc="C3FE8706">
      <w:start w:val="1"/>
      <w:numFmt w:val="decimal"/>
      <w:lvlText w:val="%1."/>
      <w:lvlJc w:val="left"/>
      <w:pPr>
        <w:tabs>
          <w:tab w:val="num" w:pos="284"/>
        </w:tabs>
        <w:ind w:left="284" w:hanging="284"/>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B615D1F"/>
    <w:multiLevelType w:val="hybridMultilevel"/>
    <w:tmpl w:val="63A892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CAC6EDE"/>
    <w:multiLevelType w:val="hybridMultilevel"/>
    <w:tmpl w:val="2BFA9CA6"/>
    <w:lvl w:ilvl="0" w:tplc="CE36864E">
      <w:start w:val="1"/>
      <w:numFmt w:val="lowerLetter"/>
      <w:lvlText w:val="%1."/>
      <w:lvlJc w:val="left"/>
      <w:pPr>
        <w:ind w:left="928"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4" w15:restartNumberingAfterBreak="0">
    <w:nsid w:val="5CAE4E37"/>
    <w:multiLevelType w:val="hybridMultilevel"/>
    <w:tmpl w:val="F97221E2"/>
    <w:lvl w:ilvl="0" w:tplc="C3FE8706">
      <w:start w:val="1"/>
      <w:numFmt w:val="decimal"/>
      <w:lvlText w:val="%1."/>
      <w:lvlJc w:val="left"/>
      <w:pPr>
        <w:tabs>
          <w:tab w:val="num" w:pos="284"/>
        </w:tabs>
        <w:ind w:left="284" w:hanging="284"/>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E117E22"/>
    <w:multiLevelType w:val="hybridMultilevel"/>
    <w:tmpl w:val="567C54F0"/>
    <w:lvl w:ilvl="0" w:tplc="F1607782">
      <w:start w:val="3"/>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6" w15:restartNumberingAfterBreak="0">
    <w:nsid w:val="606D03A2"/>
    <w:multiLevelType w:val="hybridMultilevel"/>
    <w:tmpl w:val="23503B58"/>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7" w15:restartNumberingAfterBreak="0">
    <w:nsid w:val="60CE12B3"/>
    <w:multiLevelType w:val="hybridMultilevel"/>
    <w:tmpl w:val="321EF392"/>
    <w:lvl w:ilvl="0" w:tplc="0405000F">
      <w:start w:val="1"/>
      <w:numFmt w:val="decimal"/>
      <w:lvlText w:val="%1."/>
      <w:lvlJc w:val="left"/>
      <w:pPr>
        <w:ind w:left="720" w:hanging="360"/>
      </w:pPr>
    </w:lvl>
    <w:lvl w:ilvl="1" w:tplc="1B1C828E">
      <w:numFmt w:val="bullet"/>
      <w:lvlText w:val="-"/>
      <w:lvlJc w:val="left"/>
      <w:pPr>
        <w:ind w:left="1440" w:hanging="360"/>
      </w:pPr>
      <w:rPr>
        <w:rFonts w:ascii="Calibri" w:eastAsia="Calibri" w:hAnsi="Calibri"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2522D8E"/>
    <w:multiLevelType w:val="hybridMultilevel"/>
    <w:tmpl w:val="A05EA3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2C86655"/>
    <w:multiLevelType w:val="hybridMultilevel"/>
    <w:tmpl w:val="C7E43464"/>
    <w:lvl w:ilvl="0" w:tplc="04050001">
      <w:start w:val="1"/>
      <w:numFmt w:val="bullet"/>
      <w:lvlText w:val=""/>
      <w:lvlJc w:val="left"/>
      <w:pPr>
        <w:tabs>
          <w:tab w:val="num" w:pos="284"/>
        </w:tabs>
        <w:ind w:left="284" w:hanging="284"/>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E46831"/>
    <w:multiLevelType w:val="hybridMultilevel"/>
    <w:tmpl w:val="DDDA75EA"/>
    <w:lvl w:ilvl="0" w:tplc="0F0C8768">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51068E5"/>
    <w:multiLevelType w:val="hybridMultilevel"/>
    <w:tmpl w:val="CD48EE1C"/>
    <w:lvl w:ilvl="0" w:tplc="04050017">
      <w:start w:val="1"/>
      <w:numFmt w:val="lowerLetter"/>
      <w:lvlText w:val="%1)"/>
      <w:lvlJc w:val="left"/>
      <w:pPr>
        <w:ind w:left="1396" w:hanging="360"/>
      </w:pPr>
    </w:lvl>
    <w:lvl w:ilvl="1" w:tplc="04050019" w:tentative="1">
      <w:start w:val="1"/>
      <w:numFmt w:val="lowerLetter"/>
      <w:lvlText w:val="%2."/>
      <w:lvlJc w:val="left"/>
      <w:pPr>
        <w:ind w:left="2116" w:hanging="360"/>
      </w:pPr>
    </w:lvl>
    <w:lvl w:ilvl="2" w:tplc="0405001B" w:tentative="1">
      <w:start w:val="1"/>
      <w:numFmt w:val="lowerRoman"/>
      <w:lvlText w:val="%3."/>
      <w:lvlJc w:val="right"/>
      <w:pPr>
        <w:ind w:left="2836" w:hanging="180"/>
      </w:pPr>
    </w:lvl>
    <w:lvl w:ilvl="3" w:tplc="0405000F" w:tentative="1">
      <w:start w:val="1"/>
      <w:numFmt w:val="decimal"/>
      <w:lvlText w:val="%4."/>
      <w:lvlJc w:val="left"/>
      <w:pPr>
        <w:ind w:left="3556" w:hanging="360"/>
      </w:pPr>
    </w:lvl>
    <w:lvl w:ilvl="4" w:tplc="04050019" w:tentative="1">
      <w:start w:val="1"/>
      <w:numFmt w:val="lowerLetter"/>
      <w:lvlText w:val="%5."/>
      <w:lvlJc w:val="left"/>
      <w:pPr>
        <w:ind w:left="4276" w:hanging="360"/>
      </w:pPr>
    </w:lvl>
    <w:lvl w:ilvl="5" w:tplc="0405001B" w:tentative="1">
      <w:start w:val="1"/>
      <w:numFmt w:val="lowerRoman"/>
      <w:lvlText w:val="%6."/>
      <w:lvlJc w:val="right"/>
      <w:pPr>
        <w:ind w:left="4996" w:hanging="180"/>
      </w:pPr>
    </w:lvl>
    <w:lvl w:ilvl="6" w:tplc="0405000F" w:tentative="1">
      <w:start w:val="1"/>
      <w:numFmt w:val="decimal"/>
      <w:lvlText w:val="%7."/>
      <w:lvlJc w:val="left"/>
      <w:pPr>
        <w:ind w:left="5716" w:hanging="360"/>
      </w:pPr>
    </w:lvl>
    <w:lvl w:ilvl="7" w:tplc="04050019" w:tentative="1">
      <w:start w:val="1"/>
      <w:numFmt w:val="lowerLetter"/>
      <w:lvlText w:val="%8."/>
      <w:lvlJc w:val="left"/>
      <w:pPr>
        <w:ind w:left="6436" w:hanging="360"/>
      </w:pPr>
    </w:lvl>
    <w:lvl w:ilvl="8" w:tplc="0405001B" w:tentative="1">
      <w:start w:val="1"/>
      <w:numFmt w:val="lowerRoman"/>
      <w:lvlText w:val="%9."/>
      <w:lvlJc w:val="right"/>
      <w:pPr>
        <w:ind w:left="7156" w:hanging="180"/>
      </w:pPr>
    </w:lvl>
  </w:abstractNum>
  <w:abstractNum w:abstractNumId="42" w15:restartNumberingAfterBreak="0">
    <w:nsid w:val="6ADC47C1"/>
    <w:multiLevelType w:val="hybridMultilevel"/>
    <w:tmpl w:val="0E58C2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BBE290C"/>
    <w:multiLevelType w:val="hybridMultilevel"/>
    <w:tmpl w:val="CD8E549A"/>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44" w15:restartNumberingAfterBreak="0">
    <w:nsid w:val="75895AF6"/>
    <w:multiLevelType w:val="hybridMultilevel"/>
    <w:tmpl w:val="9DF40E8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790C1B87"/>
    <w:multiLevelType w:val="hybridMultilevel"/>
    <w:tmpl w:val="6B447026"/>
    <w:lvl w:ilvl="0" w:tplc="E5D002C4">
      <w:numFmt w:val="bullet"/>
      <w:lvlText w:val="-"/>
      <w:lvlJc w:val="left"/>
      <w:pPr>
        <w:ind w:left="1146" w:hanging="360"/>
      </w:pPr>
      <w:rPr>
        <w:rFonts w:ascii="Arial" w:eastAsia="Times New Roman" w:hAnsi="Arial" w:cs="Aria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46" w15:restartNumberingAfterBreak="0">
    <w:nsid w:val="796D139D"/>
    <w:multiLevelType w:val="hybridMultilevel"/>
    <w:tmpl w:val="3DDA54A0"/>
    <w:lvl w:ilvl="0" w:tplc="C3FE8706">
      <w:start w:val="1"/>
      <w:numFmt w:val="decimal"/>
      <w:lvlText w:val="%1."/>
      <w:lvlJc w:val="left"/>
      <w:pPr>
        <w:tabs>
          <w:tab w:val="num" w:pos="284"/>
        </w:tabs>
        <w:ind w:left="284" w:hanging="284"/>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E9F7374"/>
    <w:multiLevelType w:val="hybridMultilevel"/>
    <w:tmpl w:val="690EB8BC"/>
    <w:lvl w:ilvl="0" w:tplc="31F4D566">
      <w:start w:val="1"/>
      <w:numFmt w:val="bullet"/>
      <w:lvlText w:val="-"/>
      <w:lvlJc w:val="left"/>
      <w:pPr>
        <w:ind w:left="786" w:hanging="360"/>
      </w:pPr>
      <w:rPr>
        <w:rFonts w:ascii="Arial" w:eastAsia="Times New Roman"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num w:numId="1">
    <w:abstractNumId w:val="39"/>
  </w:num>
  <w:num w:numId="2">
    <w:abstractNumId w:val="0"/>
  </w:num>
  <w:num w:numId="3">
    <w:abstractNumId w:val="30"/>
  </w:num>
  <w:num w:numId="4">
    <w:abstractNumId w:val="14"/>
  </w:num>
  <w:num w:numId="5">
    <w:abstractNumId w:val="46"/>
  </w:num>
  <w:num w:numId="6">
    <w:abstractNumId w:val="10"/>
  </w:num>
  <w:num w:numId="7">
    <w:abstractNumId w:val="31"/>
  </w:num>
  <w:num w:numId="8">
    <w:abstractNumId w:val="34"/>
  </w:num>
  <w:num w:numId="9">
    <w:abstractNumId w:val="22"/>
  </w:num>
  <w:num w:numId="10">
    <w:abstractNumId w:val="44"/>
  </w:num>
  <w:num w:numId="11">
    <w:abstractNumId w:val="15"/>
  </w:num>
  <w:num w:numId="12">
    <w:abstractNumId w:val="43"/>
  </w:num>
  <w:num w:numId="13">
    <w:abstractNumId w:val="19"/>
  </w:num>
  <w:num w:numId="14">
    <w:abstractNumId w:val="41"/>
  </w:num>
  <w:num w:numId="15">
    <w:abstractNumId w:val="3"/>
  </w:num>
  <w:num w:numId="16">
    <w:abstractNumId w:val="20"/>
  </w:num>
  <w:num w:numId="17">
    <w:abstractNumId w:val="36"/>
  </w:num>
  <w:num w:numId="18">
    <w:abstractNumId w:val="1"/>
  </w:num>
  <w:num w:numId="19">
    <w:abstractNumId w:val="23"/>
  </w:num>
  <w:num w:numId="20">
    <w:abstractNumId w:val="25"/>
  </w:num>
  <w:num w:numId="21">
    <w:abstractNumId w:val="21"/>
  </w:num>
  <w:num w:numId="22">
    <w:abstractNumId w:val="33"/>
  </w:num>
  <w:num w:numId="23">
    <w:abstractNumId w:val="29"/>
  </w:num>
  <w:num w:numId="24">
    <w:abstractNumId w:val="11"/>
  </w:num>
  <w:num w:numId="25">
    <w:abstractNumId w:val="9"/>
  </w:num>
  <w:num w:numId="26">
    <w:abstractNumId w:val="38"/>
  </w:num>
  <w:num w:numId="27">
    <w:abstractNumId w:val="32"/>
  </w:num>
  <w:num w:numId="28">
    <w:abstractNumId w:val="18"/>
  </w:num>
  <w:num w:numId="29">
    <w:abstractNumId w:val="5"/>
  </w:num>
  <w:num w:numId="30">
    <w:abstractNumId w:val="8"/>
  </w:num>
  <w:num w:numId="31">
    <w:abstractNumId w:val="42"/>
  </w:num>
  <w:num w:numId="32">
    <w:abstractNumId w:val="4"/>
  </w:num>
  <w:num w:numId="33">
    <w:abstractNumId w:val="6"/>
  </w:num>
  <w:num w:numId="34">
    <w:abstractNumId w:val="37"/>
  </w:num>
  <w:num w:numId="35">
    <w:abstractNumId w:val="35"/>
  </w:num>
  <w:num w:numId="36">
    <w:abstractNumId w:val="13"/>
  </w:num>
  <w:num w:numId="37">
    <w:abstractNumId w:val="12"/>
  </w:num>
  <w:num w:numId="38">
    <w:abstractNumId w:val="7"/>
  </w:num>
  <w:num w:numId="39">
    <w:abstractNumId w:val="2"/>
  </w:num>
  <w:num w:numId="40">
    <w:abstractNumId w:val="40"/>
  </w:num>
  <w:num w:numId="41">
    <w:abstractNumId w:val="28"/>
  </w:num>
  <w:num w:numId="42">
    <w:abstractNumId w:val="24"/>
  </w:num>
  <w:num w:numId="43">
    <w:abstractNumId w:val="17"/>
  </w:num>
  <w:num w:numId="44">
    <w:abstractNumId w:val="27"/>
  </w:num>
  <w:num w:numId="45">
    <w:abstractNumId w:val="47"/>
  </w:num>
  <w:num w:numId="46">
    <w:abstractNumId w:val="45"/>
  </w:num>
  <w:num w:numId="47">
    <w:abstractNumId w:val="26"/>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480"/>
    <w:rsid w:val="0001012D"/>
    <w:rsid w:val="00011972"/>
    <w:rsid w:val="00022813"/>
    <w:rsid w:val="00022CFF"/>
    <w:rsid w:val="0002567C"/>
    <w:rsid w:val="0003409A"/>
    <w:rsid w:val="00041480"/>
    <w:rsid w:val="00043A0E"/>
    <w:rsid w:val="000460D7"/>
    <w:rsid w:val="00050AEA"/>
    <w:rsid w:val="0005229F"/>
    <w:rsid w:val="0007300A"/>
    <w:rsid w:val="00082F25"/>
    <w:rsid w:val="00083739"/>
    <w:rsid w:val="00085003"/>
    <w:rsid w:val="00090EFB"/>
    <w:rsid w:val="000920D7"/>
    <w:rsid w:val="000932F6"/>
    <w:rsid w:val="0009353C"/>
    <w:rsid w:val="0009417A"/>
    <w:rsid w:val="000946E2"/>
    <w:rsid w:val="00094D59"/>
    <w:rsid w:val="000A1AF2"/>
    <w:rsid w:val="000A3359"/>
    <w:rsid w:val="000B603B"/>
    <w:rsid w:val="000B7FAA"/>
    <w:rsid w:val="000C0B77"/>
    <w:rsid w:val="000C1922"/>
    <w:rsid w:val="000C5FF5"/>
    <w:rsid w:val="000D15D2"/>
    <w:rsid w:val="000D283B"/>
    <w:rsid w:val="000D2CFE"/>
    <w:rsid w:val="000E089C"/>
    <w:rsid w:val="000E4D9E"/>
    <w:rsid w:val="000E6FD9"/>
    <w:rsid w:val="000F7005"/>
    <w:rsid w:val="0010150F"/>
    <w:rsid w:val="00102589"/>
    <w:rsid w:val="00102D6B"/>
    <w:rsid w:val="001030E2"/>
    <w:rsid w:val="001038BA"/>
    <w:rsid w:val="00105E89"/>
    <w:rsid w:val="0010791C"/>
    <w:rsid w:val="00111A15"/>
    <w:rsid w:val="00113559"/>
    <w:rsid w:val="0011473F"/>
    <w:rsid w:val="001153EE"/>
    <w:rsid w:val="00122996"/>
    <w:rsid w:val="00126786"/>
    <w:rsid w:val="0013057E"/>
    <w:rsid w:val="001336C2"/>
    <w:rsid w:val="00145180"/>
    <w:rsid w:val="001462D4"/>
    <w:rsid w:val="00166F0E"/>
    <w:rsid w:val="00185495"/>
    <w:rsid w:val="001946E0"/>
    <w:rsid w:val="0019692F"/>
    <w:rsid w:val="00197211"/>
    <w:rsid w:val="001A07AA"/>
    <w:rsid w:val="001A23F2"/>
    <w:rsid w:val="001B23ED"/>
    <w:rsid w:val="001B3959"/>
    <w:rsid w:val="001B3FD9"/>
    <w:rsid w:val="001B6975"/>
    <w:rsid w:val="001C4724"/>
    <w:rsid w:val="001C6D5F"/>
    <w:rsid w:val="001D1F59"/>
    <w:rsid w:val="001E4B12"/>
    <w:rsid w:val="001F0E2E"/>
    <w:rsid w:val="001F72BD"/>
    <w:rsid w:val="0020704D"/>
    <w:rsid w:val="002074C2"/>
    <w:rsid w:val="0022028B"/>
    <w:rsid w:val="00220442"/>
    <w:rsid w:val="0022134A"/>
    <w:rsid w:val="002255D3"/>
    <w:rsid w:val="002323EA"/>
    <w:rsid w:val="002325FB"/>
    <w:rsid w:val="0024286E"/>
    <w:rsid w:val="00243CF7"/>
    <w:rsid w:val="00246BA5"/>
    <w:rsid w:val="00254BE2"/>
    <w:rsid w:val="00256B96"/>
    <w:rsid w:val="00261EF4"/>
    <w:rsid w:val="00262A8E"/>
    <w:rsid w:val="002723D3"/>
    <w:rsid w:val="0027326E"/>
    <w:rsid w:val="00274D00"/>
    <w:rsid w:val="00276574"/>
    <w:rsid w:val="002828C2"/>
    <w:rsid w:val="00283EC4"/>
    <w:rsid w:val="00287CD1"/>
    <w:rsid w:val="00290F43"/>
    <w:rsid w:val="00297EAA"/>
    <w:rsid w:val="002A3208"/>
    <w:rsid w:val="002B25E9"/>
    <w:rsid w:val="002B3CAD"/>
    <w:rsid w:val="002B6DFE"/>
    <w:rsid w:val="002C4330"/>
    <w:rsid w:val="002C51FE"/>
    <w:rsid w:val="002C76F7"/>
    <w:rsid w:val="002D1566"/>
    <w:rsid w:val="002D2C3D"/>
    <w:rsid w:val="002D5658"/>
    <w:rsid w:val="002E45CC"/>
    <w:rsid w:val="002E66E4"/>
    <w:rsid w:val="002E77CF"/>
    <w:rsid w:val="002F1DAE"/>
    <w:rsid w:val="002F62D7"/>
    <w:rsid w:val="002F7D34"/>
    <w:rsid w:val="00304FDB"/>
    <w:rsid w:val="003160C9"/>
    <w:rsid w:val="0032237D"/>
    <w:rsid w:val="003340F1"/>
    <w:rsid w:val="003346B3"/>
    <w:rsid w:val="00347583"/>
    <w:rsid w:val="00350A5A"/>
    <w:rsid w:val="00354922"/>
    <w:rsid w:val="00356AB7"/>
    <w:rsid w:val="00357EF1"/>
    <w:rsid w:val="00364B08"/>
    <w:rsid w:val="00366A60"/>
    <w:rsid w:val="00366AE6"/>
    <w:rsid w:val="00371013"/>
    <w:rsid w:val="00371F0C"/>
    <w:rsid w:val="0037290B"/>
    <w:rsid w:val="00383262"/>
    <w:rsid w:val="00385C85"/>
    <w:rsid w:val="00393862"/>
    <w:rsid w:val="003A49B0"/>
    <w:rsid w:val="003A4D18"/>
    <w:rsid w:val="003B4C06"/>
    <w:rsid w:val="003C39B9"/>
    <w:rsid w:val="003D3732"/>
    <w:rsid w:val="003D428E"/>
    <w:rsid w:val="003D5F9C"/>
    <w:rsid w:val="003D697E"/>
    <w:rsid w:val="003E2671"/>
    <w:rsid w:val="003F1B6F"/>
    <w:rsid w:val="003F2B3E"/>
    <w:rsid w:val="003F3090"/>
    <w:rsid w:val="004010EA"/>
    <w:rsid w:val="004259BE"/>
    <w:rsid w:val="0042768F"/>
    <w:rsid w:val="00442866"/>
    <w:rsid w:val="00444075"/>
    <w:rsid w:val="00445C40"/>
    <w:rsid w:val="0045027A"/>
    <w:rsid w:val="0048057D"/>
    <w:rsid w:val="00483394"/>
    <w:rsid w:val="004928A3"/>
    <w:rsid w:val="00494157"/>
    <w:rsid w:val="004A08DD"/>
    <w:rsid w:val="004B336C"/>
    <w:rsid w:val="004B5766"/>
    <w:rsid w:val="004C162C"/>
    <w:rsid w:val="004E2FA7"/>
    <w:rsid w:val="004F27FB"/>
    <w:rsid w:val="004F41E2"/>
    <w:rsid w:val="004F4501"/>
    <w:rsid w:val="004F4A26"/>
    <w:rsid w:val="00506017"/>
    <w:rsid w:val="005061F3"/>
    <w:rsid w:val="00511090"/>
    <w:rsid w:val="005120FD"/>
    <w:rsid w:val="005221DD"/>
    <w:rsid w:val="005253C4"/>
    <w:rsid w:val="00530DE7"/>
    <w:rsid w:val="00551F85"/>
    <w:rsid w:val="00556A77"/>
    <w:rsid w:val="00563E8D"/>
    <w:rsid w:val="00566493"/>
    <w:rsid w:val="0056728C"/>
    <w:rsid w:val="005734C9"/>
    <w:rsid w:val="005774E8"/>
    <w:rsid w:val="0057782E"/>
    <w:rsid w:val="00594364"/>
    <w:rsid w:val="00594CF1"/>
    <w:rsid w:val="00595180"/>
    <w:rsid w:val="005953CE"/>
    <w:rsid w:val="005A459D"/>
    <w:rsid w:val="005B3413"/>
    <w:rsid w:val="005C5F51"/>
    <w:rsid w:val="005D1145"/>
    <w:rsid w:val="005E3BA1"/>
    <w:rsid w:val="005E4650"/>
    <w:rsid w:val="005E7824"/>
    <w:rsid w:val="005F4887"/>
    <w:rsid w:val="00604392"/>
    <w:rsid w:val="0061098D"/>
    <w:rsid w:val="006131D7"/>
    <w:rsid w:val="00620D3D"/>
    <w:rsid w:val="00625465"/>
    <w:rsid w:val="006279F9"/>
    <w:rsid w:val="00627BD9"/>
    <w:rsid w:val="00631771"/>
    <w:rsid w:val="00637D53"/>
    <w:rsid w:val="00647289"/>
    <w:rsid w:val="00647413"/>
    <w:rsid w:val="006519B7"/>
    <w:rsid w:val="00652102"/>
    <w:rsid w:val="006551E7"/>
    <w:rsid w:val="00655840"/>
    <w:rsid w:val="00660DBB"/>
    <w:rsid w:val="0066513E"/>
    <w:rsid w:val="00671A93"/>
    <w:rsid w:val="006753F8"/>
    <w:rsid w:val="00675463"/>
    <w:rsid w:val="00675FEE"/>
    <w:rsid w:val="0067633E"/>
    <w:rsid w:val="00681C71"/>
    <w:rsid w:val="00683BDF"/>
    <w:rsid w:val="00686505"/>
    <w:rsid w:val="006900AD"/>
    <w:rsid w:val="00690ED7"/>
    <w:rsid w:val="00694F2F"/>
    <w:rsid w:val="00697C31"/>
    <w:rsid w:val="006A35D9"/>
    <w:rsid w:val="006A7BE7"/>
    <w:rsid w:val="006B2A6D"/>
    <w:rsid w:val="006C7791"/>
    <w:rsid w:val="006D0C00"/>
    <w:rsid w:val="006F3FFC"/>
    <w:rsid w:val="00700C31"/>
    <w:rsid w:val="00704622"/>
    <w:rsid w:val="0071396F"/>
    <w:rsid w:val="00725A9A"/>
    <w:rsid w:val="00727BE2"/>
    <w:rsid w:val="0073734B"/>
    <w:rsid w:val="00737E95"/>
    <w:rsid w:val="0074223A"/>
    <w:rsid w:val="007477B2"/>
    <w:rsid w:val="007478FC"/>
    <w:rsid w:val="00751981"/>
    <w:rsid w:val="007544D1"/>
    <w:rsid w:val="00766206"/>
    <w:rsid w:val="007670AB"/>
    <w:rsid w:val="00773047"/>
    <w:rsid w:val="0079039E"/>
    <w:rsid w:val="007A553B"/>
    <w:rsid w:val="007A6CAC"/>
    <w:rsid w:val="007B1A55"/>
    <w:rsid w:val="007C2E4D"/>
    <w:rsid w:val="007C3AD0"/>
    <w:rsid w:val="007E5ACE"/>
    <w:rsid w:val="007E7FD6"/>
    <w:rsid w:val="00800F7C"/>
    <w:rsid w:val="00801B59"/>
    <w:rsid w:val="00805D7C"/>
    <w:rsid w:val="00811A84"/>
    <w:rsid w:val="008169CF"/>
    <w:rsid w:val="00824D66"/>
    <w:rsid w:val="008260AC"/>
    <w:rsid w:val="00827A05"/>
    <w:rsid w:val="00837A0B"/>
    <w:rsid w:val="008406C4"/>
    <w:rsid w:val="00841B88"/>
    <w:rsid w:val="00844561"/>
    <w:rsid w:val="00844D82"/>
    <w:rsid w:val="008669FA"/>
    <w:rsid w:val="00866D32"/>
    <w:rsid w:val="008670C3"/>
    <w:rsid w:val="008703DC"/>
    <w:rsid w:val="008738AB"/>
    <w:rsid w:val="00886B0D"/>
    <w:rsid w:val="008874E5"/>
    <w:rsid w:val="008917E6"/>
    <w:rsid w:val="0089457F"/>
    <w:rsid w:val="00897A9A"/>
    <w:rsid w:val="008A3C7E"/>
    <w:rsid w:val="008A4E1A"/>
    <w:rsid w:val="008A669A"/>
    <w:rsid w:val="008B1FDF"/>
    <w:rsid w:val="008D17D4"/>
    <w:rsid w:val="008E35F4"/>
    <w:rsid w:val="008E4506"/>
    <w:rsid w:val="008F03D0"/>
    <w:rsid w:val="008F2128"/>
    <w:rsid w:val="00903410"/>
    <w:rsid w:val="00906EF0"/>
    <w:rsid w:val="00907311"/>
    <w:rsid w:val="00935C1C"/>
    <w:rsid w:val="00936F89"/>
    <w:rsid w:val="0094494D"/>
    <w:rsid w:val="009467FF"/>
    <w:rsid w:val="0095508A"/>
    <w:rsid w:val="0096197E"/>
    <w:rsid w:val="009657FE"/>
    <w:rsid w:val="00973D96"/>
    <w:rsid w:val="00976DDB"/>
    <w:rsid w:val="0097746C"/>
    <w:rsid w:val="00977909"/>
    <w:rsid w:val="0098204B"/>
    <w:rsid w:val="0098603F"/>
    <w:rsid w:val="0099320D"/>
    <w:rsid w:val="00997212"/>
    <w:rsid w:val="009A06B1"/>
    <w:rsid w:val="009C20B4"/>
    <w:rsid w:val="009D1EC1"/>
    <w:rsid w:val="009E0F78"/>
    <w:rsid w:val="009E7F65"/>
    <w:rsid w:val="00A01EAA"/>
    <w:rsid w:val="00A06734"/>
    <w:rsid w:val="00A13A45"/>
    <w:rsid w:val="00A25FDC"/>
    <w:rsid w:val="00A35441"/>
    <w:rsid w:val="00A3580A"/>
    <w:rsid w:val="00A42293"/>
    <w:rsid w:val="00A4607C"/>
    <w:rsid w:val="00A47880"/>
    <w:rsid w:val="00A56DBB"/>
    <w:rsid w:val="00A6168F"/>
    <w:rsid w:val="00A62820"/>
    <w:rsid w:val="00A645BC"/>
    <w:rsid w:val="00A653AF"/>
    <w:rsid w:val="00A707EC"/>
    <w:rsid w:val="00A722CD"/>
    <w:rsid w:val="00A736B3"/>
    <w:rsid w:val="00A842F3"/>
    <w:rsid w:val="00A96327"/>
    <w:rsid w:val="00A9640D"/>
    <w:rsid w:val="00A967DF"/>
    <w:rsid w:val="00A96963"/>
    <w:rsid w:val="00AA3629"/>
    <w:rsid w:val="00AA6FD3"/>
    <w:rsid w:val="00AB0E03"/>
    <w:rsid w:val="00AB4042"/>
    <w:rsid w:val="00AC21C8"/>
    <w:rsid w:val="00AC2EB6"/>
    <w:rsid w:val="00AC4254"/>
    <w:rsid w:val="00AD1B8C"/>
    <w:rsid w:val="00AD58E8"/>
    <w:rsid w:val="00AE1A37"/>
    <w:rsid w:val="00AE3D84"/>
    <w:rsid w:val="00AE508E"/>
    <w:rsid w:val="00B115C5"/>
    <w:rsid w:val="00B16FCD"/>
    <w:rsid w:val="00B23941"/>
    <w:rsid w:val="00B30030"/>
    <w:rsid w:val="00B301E3"/>
    <w:rsid w:val="00B403CF"/>
    <w:rsid w:val="00B41D6D"/>
    <w:rsid w:val="00B42736"/>
    <w:rsid w:val="00B45A4B"/>
    <w:rsid w:val="00B565BA"/>
    <w:rsid w:val="00B5774C"/>
    <w:rsid w:val="00B61E3D"/>
    <w:rsid w:val="00B66AB1"/>
    <w:rsid w:val="00B6772A"/>
    <w:rsid w:val="00B762ED"/>
    <w:rsid w:val="00B9573E"/>
    <w:rsid w:val="00B970B3"/>
    <w:rsid w:val="00B97A6E"/>
    <w:rsid w:val="00BA1539"/>
    <w:rsid w:val="00BA1ED6"/>
    <w:rsid w:val="00BA521A"/>
    <w:rsid w:val="00BB07EC"/>
    <w:rsid w:val="00BC1685"/>
    <w:rsid w:val="00BC24E7"/>
    <w:rsid w:val="00BD03BB"/>
    <w:rsid w:val="00BD0DFD"/>
    <w:rsid w:val="00BE07E5"/>
    <w:rsid w:val="00BE41C3"/>
    <w:rsid w:val="00BE4211"/>
    <w:rsid w:val="00BE7BD3"/>
    <w:rsid w:val="00C16408"/>
    <w:rsid w:val="00C16422"/>
    <w:rsid w:val="00C220C2"/>
    <w:rsid w:val="00C2577A"/>
    <w:rsid w:val="00C26D69"/>
    <w:rsid w:val="00C340D1"/>
    <w:rsid w:val="00C3484A"/>
    <w:rsid w:val="00C41DF4"/>
    <w:rsid w:val="00C430C1"/>
    <w:rsid w:val="00C45BBE"/>
    <w:rsid w:val="00C56D34"/>
    <w:rsid w:val="00C66479"/>
    <w:rsid w:val="00C670CE"/>
    <w:rsid w:val="00C747D4"/>
    <w:rsid w:val="00C83D5C"/>
    <w:rsid w:val="00C864F3"/>
    <w:rsid w:val="00C8655B"/>
    <w:rsid w:val="00C933E9"/>
    <w:rsid w:val="00CA547E"/>
    <w:rsid w:val="00CA6E8F"/>
    <w:rsid w:val="00CA79B8"/>
    <w:rsid w:val="00CB4C77"/>
    <w:rsid w:val="00CB4D77"/>
    <w:rsid w:val="00CC09D0"/>
    <w:rsid w:val="00CC768C"/>
    <w:rsid w:val="00CD2662"/>
    <w:rsid w:val="00CD4545"/>
    <w:rsid w:val="00CD6D25"/>
    <w:rsid w:val="00CD791B"/>
    <w:rsid w:val="00CE0223"/>
    <w:rsid w:val="00CE6FC1"/>
    <w:rsid w:val="00CF2A10"/>
    <w:rsid w:val="00D0160C"/>
    <w:rsid w:val="00D01A82"/>
    <w:rsid w:val="00D029C8"/>
    <w:rsid w:val="00D04F8F"/>
    <w:rsid w:val="00D07DDB"/>
    <w:rsid w:val="00D236E4"/>
    <w:rsid w:val="00D23D87"/>
    <w:rsid w:val="00D321D3"/>
    <w:rsid w:val="00D326F1"/>
    <w:rsid w:val="00D40AD6"/>
    <w:rsid w:val="00D44D20"/>
    <w:rsid w:val="00D50863"/>
    <w:rsid w:val="00D559C9"/>
    <w:rsid w:val="00D6130B"/>
    <w:rsid w:val="00D641B7"/>
    <w:rsid w:val="00D82716"/>
    <w:rsid w:val="00D84A42"/>
    <w:rsid w:val="00D8784C"/>
    <w:rsid w:val="00DA4512"/>
    <w:rsid w:val="00DA71BF"/>
    <w:rsid w:val="00DA7A0C"/>
    <w:rsid w:val="00DB6528"/>
    <w:rsid w:val="00DC5A6C"/>
    <w:rsid w:val="00DD5C63"/>
    <w:rsid w:val="00DE30BD"/>
    <w:rsid w:val="00DF33F7"/>
    <w:rsid w:val="00DF53E9"/>
    <w:rsid w:val="00DF7F5A"/>
    <w:rsid w:val="00E01FB5"/>
    <w:rsid w:val="00E02A9E"/>
    <w:rsid w:val="00E05740"/>
    <w:rsid w:val="00E14201"/>
    <w:rsid w:val="00E16CCD"/>
    <w:rsid w:val="00E20FCE"/>
    <w:rsid w:val="00E51F1E"/>
    <w:rsid w:val="00E56332"/>
    <w:rsid w:val="00E571A2"/>
    <w:rsid w:val="00E626CC"/>
    <w:rsid w:val="00E637C3"/>
    <w:rsid w:val="00E64DDE"/>
    <w:rsid w:val="00E66A9C"/>
    <w:rsid w:val="00E83661"/>
    <w:rsid w:val="00E861EC"/>
    <w:rsid w:val="00E864E7"/>
    <w:rsid w:val="00E90E04"/>
    <w:rsid w:val="00E92B9B"/>
    <w:rsid w:val="00E94914"/>
    <w:rsid w:val="00EB4AE7"/>
    <w:rsid w:val="00EC07AD"/>
    <w:rsid w:val="00ED2AFA"/>
    <w:rsid w:val="00ED5456"/>
    <w:rsid w:val="00EE03B6"/>
    <w:rsid w:val="00EE0C34"/>
    <w:rsid w:val="00EE7A9B"/>
    <w:rsid w:val="00EE7F15"/>
    <w:rsid w:val="00EF0A77"/>
    <w:rsid w:val="00F03C3A"/>
    <w:rsid w:val="00F059CD"/>
    <w:rsid w:val="00F13218"/>
    <w:rsid w:val="00F146B2"/>
    <w:rsid w:val="00F14B8C"/>
    <w:rsid w:val="00F205BA"/>
    <w:rsid w:val="00F206E8"/>
    <w:rsid w:val="00F305FB"/>
    <w:rsid w:val="00F40AFE"/>
    <w:rsid w:val="00F41DE6"/>
    <w:rsid w:val="00F44726"/>
    <w:rsid w:val="00F51810"/>
    <w:rsid w:val="00F51EE8"/>
    <w:rsid w:val="00F55CAD"/>
    <w:rsid w:val="00F562ED"/>
    <w:rsid w:val="00F571A0"/>
    <w:rsid w:val="00F757C1"/>
    <w:rsid w:val="00F8181F"/>
    <w:rsid w:val="00F85300"/>
    <w:rsid w:val="00F856C9"/>
    <w:rsid w:val="00F94378"/>
    <w:rsid w:val="00F95B14"/>
    <w:rsid w:val="00FA7776"/>
    <w:rsid w:val="00FB3C7E"/>
    <w:rsid w:val="00FB6D51"/>
    <w:rsid w:val="00FC4872"/>
    <w:rsid w:val="00FD6A39"/>
    <w:rsid w:val="00FE4DBE"/>
    <w:rsid w:val="00FE4F3C"/>
    <w:rsid w:val="00FE74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0F253A"/>
  <w15:docId w15:val="{33F8552E-C57A-4126-99AD-0A6A72745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41480"/>
    <w:pPr>
      <w:suppressAutoHyphens/>
      <w:spacing w:after="0" w:line="240" w:lineRule="auto"/>
    </w:pPr>
    <w:rPr>
      <w:rFonts w:ascii="Times New Roman" w:eastAsia="Times New Roman" w:hAnsi="Times New Roman" w:cs="Times New Roman"/>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rsid w:val="00041480"/>
    <w:rPr>
      <w:sz w:val="16"/>
      <w:szCs w:val="16"/>
    </w:rPr>
  </w:style>
  <w:style w:type="paragraph" w:styleId="Textkomente">
    <w:name w:val="annotation text"/>
    <w:basedOn w:val="Normln"/>
    <w:link w:val="TextkomenteChar"/>
    <w:uiPriority w:val="99"/>
    <w:semiHidden/>
    <w:rsid w:val="00041480"/>
    <w:rPr>
      <w:sz w:val="20"/>
      <w:szCs w:val="20"/>
      <w:lang w:val="x-none"/>
    </w:rPr>
  </w:style>
  <w:style w:type="character" w:customStyle="1" w:styleId="TextkomenteChar">
    <w:name w:val="Text komentáře Char"/>
    <w:basedOn w:val="Standardnpsmoodstavce"/>
    <w:link w:val="Textkomente"/>
    <w:uiPriority w:val="99"/>
    <w:semiHidden/>
    <w:rsid w:val="00041480"/>
    <w:rPr>
      <w:rFonts w:ascii="Times New Roman" w:eastAsia="Times New Roman" w:hAnsi="Times New Roman" w:cs="Times New Roman"/>
      <w:sz w:val="20"/>
      <w:szCs w:val="20"/>
      <w:lang w:val="x-none" w:eastAsia="ar-SA"/>
    </w:rPr>
  </w:style>
  <w:style w:type="paragraph" w:customStyle="1" w:styleId="NormalJustified">
    <w:name w:val="Normal (Justified)"/>
    <w:basedOn w:val="Normln"/>
    <w:rsid w:val="00041480"/>
    <w:pPr>
      <w:widowControl w:val="0"/>
      <w:suppressAutoHyphens w:val="0"/>
      <w:jc w:val="both"/>
    </w:pPr>
    <w:rPr>
      <w:kern w:val="28"/>
      <w:szCs w:val="20"/>
      <w:lang w:eastAsia="cs-CZ"/>
    </w:rPr>
  </w:style>
  <w:style w:type="paragraph" w:styleId="Textbubliny">
    <w:name w:val="Balloon Text"/>
    <w:basedOn w:val="Normln"/>
    <w:link w:val="TextbublinyChar"/>
    <w:uiPriority w:val="99"/>
    <w:semiHidden/>
    <w:unhideWhenUsed/>
    <w:rsid w:val="00041480"/>
    <w:rPr>
      <w:rFonts w:ascii="Tahoma" w:hAnsi="Tahoma" w:cs="Tahoma"/>
      <w:sz w:val="16"/>
      <w:szCs w:val="16"/>
    </w:rPr>
  </w:style>
  <w:style w:type="character" w:customStyle="1" w:styleId="TextbublinyChar">
    <w:name w:val="Text bubliny Char"/>
    <w:basedOn w:val="Standardnpsmoodstavce"/>
    <w:link w:val="Textbubliny"/>
    <w:uiPriority w:val="99"/>
    <w:semiHidden/>
    <w:rsid w:val="00041480"/>
    <w:rPr>
      <w:rFonts w:ascii="Tahoma" w:eastAsia="Times New Roman" w:hAnsi="Tahoma" w:cs="Tahoma"/>
      <w:sz w:val="16"/>
      <w:szCs w:val="16"/>
      <w:lang w:eastAsia="ar-SA"/>
    </w:rPr>
  </w:style>
  <w:style w:type="paragraph" w:styleId="Odstavecseseznamem">
    <w:name w:val="List Paragraph"/>
    <w:basedOn w:val="Normln"/>
    <w:uiPriority w:val="34"/>
    <w:qFormat/>
    <w:rsid w:val="00F206E8"/>
    <w:pPr>
      <w:ind w:left="720"/>
      <w:contextualSpacing/>
    </w:pPr>
  </w:style>
  <w:style w:type="paragraph" w:styleId="Zhlav">
    <w:name w:val="header"/>
    <w:basedOn w:val="Normln"/>
    <w:link w:val="ZhlavChar"/>
    <w:uiPriority w:val="99"/>
    <w:unhideWhenUsed/>
    <w:rsid w:val="005B3413"/>
    <w:pPr>
      <w:tabs>
        <w:tab w:val="center" w:pos="4536"/>
        <w:tab w:val="right" w:pos="9072"/>
      </w:tabs>
    </w:pPr>
  </w:style>
  <w:style w:type="character" w:customStyle="1" w:styleId="ZhlavChar">
    <w:name w:val="Záhlaví Char"/>
    <w:basedOn w:val="Standardnpsmoodstavce"/>
    <w:link w:val="Zhlav"/>
    <w:uiPriority w:val="99"/>
    <w:rsid w:val="005B3413"/>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5B3413"/>
    <w:pPr>
      <w:tabs>
        <w:tab w:val="center" w:pos="4536"/>
        <w:tab w:val="right" w:pos="9072"/>
      </w:tabs>
    </w:pPr>
  </w:style>
  <w:style w:type="character" w:customStyle="1" w:styleId="ZpatChar">
    <w:name w:val="Zápatí Char"/>
    <w:basedOn w:val="Standardnpsmoodstavce"/>
    <w:link w:val="Zpat"/>
    <w:uiPriority w:val="99"/>
    <w:rsid w:val="005B3413"/>
    <w:rPr>
      <w:rFonts w:ascii="Times New Roman" w:eastAsia="Times New Roman" w:hAnsi="Times New Roman" w:cs="Times New Roman"/>
      <w:sz w:val="24"/>
      <w:szCs w:val="24"/>
      <w:lang w:eastAsia="ar-SA"/>
    </w:rPr>
  </w:style>
  <w:style w:type="paragraph" w:styleId="Pedmtkomente">
    <w:name w:val="annotation subject"/>
    <w:basedOn w:val="Textkomente"/>
    <w:next w:val="Textkomente"/>
    <w:link w:val="PedmtkomenteChar"/>
    <w:uiPriority w:val="99"/>
    <w:semiHidden/>
    <w:unhideWhenUsed/>
    <w:rsid w:val="004F4501"/>
    <w:rPr>
      <w:b/>
      <w:bCs/>
      <w:lang w:val="cs-CZ"/>
    </w:rPr>
  </w:style>
  <w:style w:type="character" w:customStyle="1" w:styleId="PedmtkomenteChar">
    <w:name w:val="Předmět komentáře Char"/>
    <w:basedOn w:val="TextkomenteChar"/>
    <w:link w:val="Pedmtkomente"/>
    <w:uiPriority w:val="99"/>
    <w:semiHidden/>
    <w:rsid w:val="004F4501"/>
    <w:rPr>
      <w:rFonts w:ascii="Times New Roman" w:eastAsia="Times New Roman" w:hAnsi="Times New Roman" w:cs="Times New Roman"/>
      <w:b/>
      <w:bCs/>
      <w:sz w:val="20"/>
      <w:szCs w:val="20"/>
      <w:lang w:val="x-none" w:eastAsia="ar-SA"/>
    </w:rPr>
  </w:style>
  <w:style w:type="paragraph" w:styleId="Textpoznpodarou">
    <w:name w:val="footnote text"/>
    <w:basedOn w:val="Normln"/>
    <w:link w:val="TextpoznpodarouChar"/>
    <w:uiPriority w:val="99"/>
    <w:semiHidden/>
    <w:unhideWhenUsed/>
    <w:rsid w:val="002E66E4"/>
    <w:rPr>
      <w:sz w:val="20"/>
      <w:szCs w:val="20"/>
    </w:rPr>
  </w:style>
  <w:style w:type="character" w:customStyle="1" w:styleId="TextpoznpodarouChar">
    <w:name w:val="Text pozn. pod čarou Char"/>
    <w:basedOn w:val="Standardnpsmoodstavce"/>
    <w:link w:val="Textpoznpodarou"/>
    <w:uiPriority w:val="99"/>
    <w:semiHidden/>
    <w:rsid w:val="002E66E4"/>
    <w:rPr>
      <w:rFonts w:ascii="Times New Roman" w:eastAsia="Times New Roman" w:hAnsi="Times New Roman" w:cs="Times New Roman"/>
      <w:sz w:val="20"/>
      <w:szCs w:val="20"/>
      <w:lang w:eastAsia="ar-SA"/>
    </w:rPr>
  </w:style>
  <w:style w:type="character" w:styleId="Znakapoznpodarou">
    <w:name w:val="footnote reference"/>
    <w:uiPriority w:val="99"/>
    <w:semiHidden/>
    <w:unhideWhenUsed/>
    <w:rsid w:val="002E66E4"/>
    <w:rPr>
      <w:vertAlign w:val="superscript"/>
    </w:rPr>
  </w:style>
  <w:style w:type="character" w:styleId="Zdraznn">
    <w:name w:val="Emphasis"/>
    <w:basedOn w:val="Standardnpsmoodstavce"/>
    <w:uiPriority w:val="20"/>
    <w:qFormat/>
    <w:rsid w:val="00CC768C"/>
    <w:rPr>
      <w:i/>
      <w:iCs/>
    </w:rPr>
  </w:style>
  <w:style w:type="paragraph" w:customStyle="1" w:styleId="Textbody">
    <w:name w:val="Text body"/>
    <w:basedOn w:val="Normln"/>
    <w:rsid w:val="00976DDB"/>
    <w:pPr>
      <w:widowControl w:val="0"/>
      <w:autoSpaceDN w:val="0"/>
      <w:spacing w:after="120"/>
      <w:textAlignment w:val="baseline"/>
    </w:pPr>
    <w:rPr>
      <w:rFonts w:eastAsia="SimSun" w:cs="Lucida Sans"/>
      <w:kern w:val="3"/>
      <w:lang w:eastAsia="zh-CN" w:bidi="hi-IN"/>
    </w:rPr>
  </w:style>
  <w:style w:type="paragraph" w:styleId="Revize">
    <w:name w:val="Revision"/>
    <w:hidden/>
    <w:uiPriority w:val="99"/>
    <w:semiHidden/>
    <w:rsid w:val="00B115C5"/>
    <w:pPr>
      <w:spacing w:after="0" w:line="240" w:lineRule="auto"/>
    </w:pPr>
    <w:rPr>
      <w:rFonts w:ascii="Times New Roman" w:eastAsia="Times New Roman" w:hAnsi="Times New Roman" w:cs="Times New Roman"/>
      <w:sz w:val="24"/>
      <w:szCs w:val="24"/>
      <w:lang w:eastAsia="ar-SA"/>
    </w:rPr>
  </w:style>
  <w:style w:type="character" w:styleId="Hypertextovodkaz">
    <w:name w:val="Hyperlink"/>
    <w:basedOn w:val="Standardnpsmoodstavce"/>
    <w:uiPriority w:val="99"/>
    <w:unhideWhenUsed/>
    <w:rsid w:val="007A6C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619290">
      <w:bodyDiv w:val="1"/>
      <w:marLeft w:val="0"/>
      <w:marRight w:val="0"/>
      <w:marTop w:val="0"/>
      <w:marBottom w:val="0"/>
      <w:divBdr>
        <w:top w:val="none" w:sz="0" w:space="0" w:color="auto"/>
        <w:left w:val="none" w:sz="0" w:space="0" w:color="auto"/>
        <w:bottom w:val="none" w:sz="0" w:space="0" w:color="auto"/>
        <w:right w:val="none" w:sz="0" w:space="0" w:color="auto"/>
      </w:divBdr>
    </w:div>
    <w:div w:id="1867984641">
      <w:bodyDiv w:val="1"/>
      <w:marLeft w:val="0"/>
      <w:marRight w:val="0"/>
      <w:marTop w:val="0"/>
      <w:marBottom w:val="0"/>
      <w:divBdr>
        <w:top w:val="none" w:sz="0" w:space="0" w:color="auto"/>
        <w:left w:val="none" w:sz="0" w:space="0" w:color="auto"/>
        <w:bottom w:val="none" w:sz="0" w:space="0" w:color="auto"/>
        <w:right w:val="none" w:sz="0" w:space="0" w:color="auto"/>
      </w:divBdr>
    </w:div>
    <w:div w:id="195867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D722F-38F9-40B0-A482-92C73FC3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7</Pages>
  <Words>1760</Words>
  <Characters>10388</Characters>
  <Application>Microsoft Office Word</Application>
  <DocSecurity>0</DocSecurity>
  <Lines>86</Lines>
  <Paragraphs>24</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 Vladyková</dc:creator>
  <cp:lastModifiedBy>PROŠEK Petr</cp:lastModifiedBy>
  <cp:revision>120</cp:revision>
  <cp:lastPrinted>2019-08-02T07:40:00Z</cp:lastPrinted>
  <dcterms:created xsi:type="dcterms:W3CDTF">2019-06-04T06:42:00Z</dcterms:created>
  <dcterms:modified xsi:type="dcterms:W3CDTF">2020-01-29T06:24:00Z</dcterms:modified>
</cp:coreProperties>
</file>